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media/image2.svg" ContentType="image/svg+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05EDBA6C">
      <w:pPr>
        <w:adjustRightInd w:val="0"/>
        <w:snapToGrid/>
        <w:spacing w:line="240" w:lineRule="auto"/>
        <w:ind w:firstLine="0" w:firstLineChars="0"/>
        <w:jc w:val="center"/>
        <w:rPr>
          <w:b/>
          <w:sz w:val="52"/>
          <w:szCs w:val="20"/>
        </w:rPr>
      </w:pPr>
      <w:r>
        <w:rPr>
          <w:b/>
          <w:sz w:val="52"/>
          <w:szCs w:val="20"/>
        </w:rPr>
        <w:t>中华人民共和国国家计量技术规范</w:t>
      </w:r>
    </w:p>
    <w:p w14:paraId="0C157FA7">
      <w:pPr>
        <w:adjustRightInd w:val="0"/>
        <w:snapToGrid/>
        <w:spacing w:line="240" w:lineRule="auto"/>
        <w:ind w:firstLine="0" w:firstLineChars="0"/>
        <w:jc w:val="center"/>
        <w:rPr>
          <w:rFonts w:ascii="黑体" w:hAnsi="黑体" w:eastAsia="黑体"/>
          <w:sz w:val="28"/>
          <w:szCs w:val="28"/>
        </w:rPr>
      </w:pPr>
      <w:r>
        <w:t xml:space="preserve">                               </w:t>
      </w:r>
      <w:r>
        <w:rPr>
          <w:rFonts w:eastAsia="黑体"/>
          <w:sz w:val="28"/>
          <w:szCs w:val="28"/>
        </w:rPr>
        <w:t xml:space="preserve">                                               </w:t>
      </w:r>
      <w:r>
        <w:rPr>
          <w:rFonts w:ascii="黑体" w:hAnsi="黑体" w:eastAsia="黑体"/>
          <w:sz w:val="28"/>
          <w:szCs w:val="28"/>
        </w:rPr>
        <w:t>JJF ××××</w:t>
      </w:r>
      <w:r>
        <w:rPr>
          <w:rFonts w:ascii="黑体" w:hAnsi="黑体" w:eastAsia="黑体"/>
          <w:sz w:val="28"/>
          <w:szCs w:val="28"/>
        </w:rPr>
        <w:sym w:font="Symbol" w:char="F0BE"/>
      </w:r>
      <w:r>
        <w:rPr>
          <w:rFonts w:ascii="黑体" w:hAnsi="黑体" w:eastAsia="黑体"/>
          <w:sz w:val="28"/>
          <w:szCs w:val="28"/>
        </w:rPr>
        <w:t>××××</w:t>
      </w:r>
    </w:p>
    <w:p w14:paraId="2FCEE8E9">
      <w:pPr>
        <w:tabs>
          <w:tab w:val="left" w:pos="8160"/>
        </w:tabs>
        <w:adjustRightInd w:val="0"/>
        <w:snapToGrid/>
        <w:spacing w:line="240" w:lineRule="auto"/>
        <w:ind w:firstLine="0" w:firstLineChars="0"/>
        <w:jc w:val="left"/>
        <w:rPr>
          <w:b/>
          <w:sz w:val="21"/>
          <w:szCs w:val="20"/>
        </w:rPr>
      </w:pPr>
      <w:r>
        <w:rPr>
          <w:b/>
          <w:sz w:val="21"/>
          <w:szCs w:val="20"/>
        </w:rPr>
        <w:tab/>
      </w:r>
    </w:p>
    <w:p w14:paraId="2FC9F1CF">
      <w:pPr>
        <w:adjustRightInd w:val="0"/>
        <w:snapToGrid/>
        <w:spacing w:line="240" w:lineRule="auto"/>
        <w:ind w:firstLine="0" w:firstLineChars="0"/>
        <w:jc w:val="center"/>
        <w:rPr>
          <w:b/>
          <w:sz w:val="21"/>
          <w:szCs w:val="20"/>
        </w:rPr>
      </w:pPr>
    </w:p>
    <w:p w14:paraId="714E70C2">
      <w:pPr>
        <w:adjustRightInd w:val="0"/>
        <w:snapToGrid/>
        <w:spacing w:line="240" w:lineRule="auto"/>
        <w:ind w:firstLine="0" w:firstLineChars="0"/>
        <w:jc w:val="center"/>
        <w:rPr>
          <w:b/>
          <w:sz w:val="21"/>
          <w:szCs w:val="20"/>
        </w:rPr>
      </w:pPr>
      <w:r>
        <w:rPr>
          <w:b/>
          <w:sz w:val="21"/>
          <w:szCs w:val="20"/>
        </w:rPr>
        <mc:AlternateContent>
          <mc:Choice Requires="wps">
            <w:drawing>
              <wp:anchor distT="0" distB="0" distL="114300" distR="114300" simplePos="0" relativeHeight="251661312" behindDoc="0" locked="1" layoutInCell="1" allowOverlap="0">
                <wp:simplePos x="0" y="0"/>
                <wp:positionH relativeFrom="column">
                  <wp:posOffset>-85725</wp:posOffset>
                </wp:positionH>
                <wp:positionV relativeFrom="page">
                  <wp:posOffset>2481580</wp:posOffset>
                </wp:positionV>
                <wp:extent cx="5939790" cy="635"/>
                <wp:effectExtent l="14605" t="14605" r="8255" b="13335"/>
                <wp:wrapNone/>
                <wp:docPr id="4" name="直线 3"/>
                <wp:cNvGraphicFramePr/>
                <a:graphic xmlns:a="http://schemas.openxmlformats.org/drawingml/2006/main">
                  <a:graphicData uri="http://schemas.microsoft.com/office/word/2010/wordprocessingShape">
                    <wps:wsp>
                      <wps:cNvCnPr>
                        <a:cxnSpLocks noChangeShapeType="1"/>
                      </wps:cNvCnPr>
                      <wps:spPr bwMode="auto">
                        <a:xfrm>
                          <a:off x="0" y="0"/>
                          <a:ext cx="5939790" cy="635"/>
                        </a:xfrm>
                        <a:prstGeom prst="line">
                          <a:avLst/>
                        </a:prstGeom>
                        <a:noFill/>
                        <a:ln w="12232">
                          <a:solidFill>
                            <a:srgbClr val="000000"/>
                          </a:solidFill>
                          <a:round/>
                        </a:ln>
                      </wps:spPr>
                      <wps:bodyPr/>
                    </wps:wsp>
                  </a:graphicData>
                </a:graphic>
              </wp:anchor>
            </w:drawing>
          </mc:Choice>
          <mc:Fallback>
            <w:pict>
              <v:line id="直线 3" o:spid="_x0000_s1026" o:spt="20" style="position:absolute;left:0pt;margin-left:-6.75pt;margin-top:195.4pt;height:0.05pt;width:467.7pt;mso-position-vertical-relative:page;z-index:251661312;mso-width-relative:page;mso-height-relative:page;" filled="f" stroked="t" coordsize="21600,21600" o:allowoverlap="f" o:gfxdata="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Xu1gyNUAAAALAQAADwAAAAAAAAAB&#10;ACAAAAAiAAAAZHJzL2Rvd25yZXYueG1sUEsBAhQAFAAAAAgAh07iQByvyvDaAQAApAMAAA4AAAAA&#10;AAAAAQAgAAAAJAEAAGRycy9lMm9Eb2MueG1sUEsFBgAAAAAGAAYAWQEAAHAFAAAAAA==&#10;">
                <v:fill on="f" focussize="0,0"/>
                <v:stroke weight="0.963149606299213pt" color="#000000" joinstyle="round"/>
                <v:imagedata o:title=""/>
                <o:lock v:ext="edit" aspectratio="f"/>
                <w10:anchorlock/>
              </v:line>
            </w:pict>
          </mc:Fallback>
        </mc:AlternateContent>
      </w:r>
    </w:p>
    <w:p w14:paraId="6948A528">
      <w:pPr>
        <w:adjustRightInd w:val="0"/>
        <w:snapToGrid/>
        <w:spacing w:line="240" w:lineRule="auto"/>
        <w:ind w:firstLine="0" w:firstLineChars="0"/>
        <w:jc w:val="center"/>
        <w:rPr>
          <w:b/>
          <w:sz w:val="21"/>
          <w:szCs w:val="20"/>
        </w:rPr>
      </w:pPr>
    </w:p>
    <w:p w14:paraId="22F4D1EA">
      <w:pPr>
        <w:adjustRightInd w:val="0"/>
        <w:snapToGrid/>
        <w:spacing w:line="240" w:lineRule="auto"/>
        <w:ind w:firstLine="0" w:firstLineChars="0"/>
        <w:jc w:val="center"/>
        <w:rPr>
          <w:b/>
          <w:sz w:val="21"/>
          <w:szCs w:val="20"/>
        </w:rPr>
      </w:pPr>
    </w:p>
    <w:p w14:paraId="2525C471">
      <w:pPr>
        <w:adjustRightInd w:val="0"/>
        <w:snapToGrid/>
        <w:spacing w:line="240" w:lineRule="auto"/>
        <w:ind w:firstLine="0" w:firstLineChars="0"/>
        <w:jc w:val="center"/>
        <w:rPr>
          <w:b/>
          <w:sz w:val="21"/>
          <w:szCs w:val="20"/>
        </w:rPr>
      </w:pPr>
    </w:p>
    <w:p w14:paraId="34EDF300">
      <w:pPr>
        <w:adjustRightInd w:val="0"/>
        <w:snapToGrid/>
        <w:spacing w:line="480" w:lineRule="auto"/>
        <w:ind w:firstLine="0" w:firstLineChars="0"/>
        <w:jc w:val="center"/>
        <w:rPr>
          <w:rFonts w:eastAsia="黑体"/>
          <w:sz w:val="52"/>
          <w:szCs w:val="52"/>
        </w:rPr>
      </w:pPr>
      <w:r>
        <w:rPr>
          <w:rFonts w:hint="eastAsia" w:eastAsia="黑体"/>
          <w:sz w:val="52"/>
          <w:szCs w:val="52"/>
        </w:rPr>
        <w:t>电动汽车非车载充电机电能计量数据加密技术规范</w:t>
      </w:r>
    </w:p>
    <w:p w14:paraId="27901993">
      <w:pPr>
        <w:adjustRightInd w:val="0"/>
        <w:snapToGrid/>
        <w:spacing w:line="480" w:lineRule="auto"/>
        <w:ind w:firstLine="0" w:firstLineChars="0"/>
        <w:jc w:val="center"/>
        <w:rPr>
          <w:rFonts w:eastAsia="黑体"/>
          <w:sz w:val="28"/>
          <w:szCs w:val="28"/>
        </w:rPr>
      </w:pPr>
      <w:r>
        <w:rPr>
          <w:rFonts w:eastAsia="黑体"/>
          <w:bCs/>
          <w:sz w:val="28"/>
          <w:szCs w:val="28"/>
        </w:rPr>
        <w:t>Technical Specification for Data Encryption of Electric Energy Metering for Off-Board Chargers of Electric Vehicles</w:t>
      </w:r>
    </w:p>
    <w:p w14:paraId="5E31D652">
      <w:pPr>
        <w:adjustRightInd w:val="0"/>
        <w:ind w:firstLine="600"/>
        <w:jc w:val="center"/>
        <w:rPr>
          <w:sz w:val="30"/>
          <w:szCs w:val="30"/>
        </w:rPr>
      </w:pPr>
    </w:p>
    <w:p w14:paraId="38F7F14A">
      <w:pPr>
        <w:adjustRightInd w:val="0"/>
        <w:ind w:firstLine="600"/>
        <w:jc w:val="center"/>
        <w:rPr>
          <w:sz w:val="30"/>
          <w:szCs w:val="30"/>
        </w:rPr>
      </w:pPr>
    </w:p>
    <w:p w14:paraId="1AF07422">
      <w:pPr>
        <w:adjustRightInd w:val="0"/>
        <w:ind w:firstLine="600"/>
        <w:jc w:val="center"/>
        <w:rPr>
          <w:sz w:val="30"/>
          <w:szCs w:val="30"/>
        </w:rPr>
      </w:pPr>
    </w:p>
    <w:p w14:paraId="15A4046F">
      <w:pPr>
        <w:adjustRightInd w:val="0"/>
        <w:ind w:firstLine="600"/>
        <w:jc w:val="center"/>
        <w:rPr>
          <w:sz w:val="30"/>
          <w:szCs w:val="30"/>
        </w:rPr>
      </w:pPr>
    </w:p>
    <w:p w14:paraId="504AE61F">
      <w:pPr>
        <w:adjustRightInd w:val="0"/>
        <w:ind w:firstLine="600"/>
        <w:jc w:val="center"/>
        <w:rPr>
          <w:sz w:val="30"/>
          <w:szCs w:val="30"/>
        </w:rPr>
      </w:pPr>
    </w:p>
    <w:p w14:paraId="646B1E42">
      <w:pPr>
        <w:adjustRightInd w:val="0"/>
        <w:ind w:firstLine="600"/>
        <w:jc w:val="center"/>
        <w:rPr>
          <w:sz w:val="30"/>
          <w:szCs w:val="30"/>
        </w:rPr>
      </w:pPr>
    </w:p>
    <w:p w14:paraId="7C74B280">
      <w:pPr>
        <w:adjustRightInd w:val="0"/>
        <w:ind w:firstLine="600"/>
        <w:jc w:val="center"/>
        <w:rPr>
          <w:sz w:val="30"/>
          <w:szCs w:val="30"/>
        </w:rPr>
      </w:pPr>
    </w:p>
    <w:p w14:paraId="23F0C140">
      <w:pPr>
        <w:adjustRightInd w:val="0"/>
        <w:ind w:firstLine="600"/>
        <w:jc w:val="center"/>
        <w:rPr>
          <w:sz w:val="30"/>
          <w:szCs w:val="30"/>
        </w:rPr>
      </w:pPr>
    </w:p>
    <w:p w14:paraId="66328BB0">
      <w:pPr>
        <w:adjustRightInd w:val="0"/>
        <w:ind w:firstLine="600"/>
        <w:jc w:val="center"/>
        <w:rPr>
          <w:sz w:val="30"/>
          <w:szCs w:val="30"/>
        </w:rPr>
      </w:pPr>
    </w:p>
    <w:p w14:paraId="3C25DE2B">
      <w:pPr>
        <w:spacing w:line="480" w:lineRule="auto"/>
        <w:ind w:firstLine="0" w:firstLineChars="0"/>
        <w:rPr>
          <w:rFonts w:ascii="黑体" w:eastAsia="黑体"/>
          <w:sz w:val="28"/>
          <w:szCs w:val="28"/>
        </w:rPr>
      </w:pPr>
      <w:r>
        <w:rPr>
          <w:rFonts w:hint="eastAsia" w:ascii="黑体" w:eastAsia="黑体"/>
          <w:sz w:val="28"/>
          <w:szCs w:val="28"/>
        </w:rPr>
        <w:t>××××</w:t>
      </w:r>
      <w:r>
        <w:rPr>
          <w:rFonts w:hint="eastAsia" w:ascii="黑体" w:eastAsia="黑体"/>
          <w:sz w:val="28"/>
          <w:szCs w:val="28"/>
        </w:rPr>
        <w:sym w:font="Symbol" w:char="F0BE"/>
      </w:r>
      <w:r>
        <w:rPr>
          <w:rFonts w:hint="eastAsia" w:ascii="黑体" w:eastAsia="黑体"/>
          <w:sz w:val="28"/>
          <w:szCs w:val="28"/>
        </w:rPr>
        <w:t>××</w:t>
      </w:r>
      <w:r>
        <w:rPr>
          <w:rFonts w:hint="eastAsia" w:ascii="黑体" w:eastAsia="黑体"/>
          <w:sz w:val="28"/>
          <w:szCs w:val="28"/>
        </w:rPr>
        <w:sym w:font="Symbol" w:char="F0BE"/>
      </w:r>
      <w:r>
        <w:rPr>
          <w:rFonts w:hint="eastAsia" w:ascii="黑体" w:eastAsia="黑体"/>
          <w:sz w:val="28"/>
          <w:szCs w:val="28"/>
        </w:rPr>
        <w:t>××发布                 ××××</w:t>
      </w:r>
      <w:r>
        <w:rPr>
          <w:rFonts w:hint="eastAsia" w:ascii="黑体" w:eastAsia="黑体"/>
          <w:sz w:val="28"/>
          <w:szCs w:val="28"/>
        </w:rPr>
        <w:sym w:font="Symbol" w:char="F0BE"/>
      </w:r>
      <w:r>
        <w:rPr>
          <w:rFonts w:hint="eastAsia" w:ascii="黑体" w:eastAsia="黑体"/>
          <w:sz w:val="28"/>
          <w:szCs w:val="28"/>
        </w:rPr>
        <w:t>××</w:t>
      </w:r>
      <w:r>
        <w:rPr>
          <w:rFonts w:hint="eastAsia" w:ascii="黑体" w:eastAsia="黑体"/>
          <w:sz w:val="28"/>
          <w:szCs w:val="28"/>
        </w:rPr>
        <w:sym w:font="Symbol" w:char="F0BE"/>
      </w:r>
      <w:r>
        <w:rPr>
          <w:rFonts w:hint="eastAsia" w:ascii="黑体" w:eastAsia="黑体"/>
          <w:sz w:val="28"/>
          <w:szCs w:val="28"/>
        </w:rPr>
        <w:t>××实施</w:t>
      </w:r>
    </w:p>
    <w:p w14:paraId="13C8DB6F">
      <w:pPr>
        <w:adjustRightInd w:val="0"/>
        <w:spacing w:line="240" w:lineRule="auto"/>
        <w:ind w:firstLine="0" w:firstLineChars="0"/>
        <w:jc w:val="center"/>
        <w:rPr>
          <w:rFonts w:eastAsia="黑体"/>
          <w:sz w:val="28"/>
          <w:szCs w:val="28"/>
        </w:rPr>
        <w:sectPr>
          <w:headerReference r:id="rId7" w:type="first"/>
          <w:footerReference r:id="rId10" w:type="first"/>
          <w:headerReference r:id="rId5" w:type="default"/>
          <w:footerReference r:id="rId8" w:type="default"/>
          <w:headerReference r:id="rId6" w:type="even"/>
          <w:footerReference r:id="rId9" w:type="even"/>
          <w:pgSz w:w="11906" w:h="16838"/>
          <w:pgMar w:top="1985" w:right="1134" w:bottom="1418" w:left="1418" w:header="1418" w:footer="1304" w:gutter="0"/>
          <w:pgNumType w:start="1"/>
          <w:cols w:space="720" w:num="1"/>
          <w:titlePg/>
          <w:docGrid w:type="linesAndChars" w:linePitch="312" w:charSpace="0"/>
        </w:sectPr>
      </w:pPr>
      <w:r>
        <w:rPr>
          <w:b/>
          <w:spacing w:val="40"/>
          <w:w w:val="150"/>
          <w:sz w:val="44"/>
          <w:szCs w:val="44"/>
        </w:rPr>
        <mc:AlternateContent>
          <mc:Choice Requires="wps">
            <w:drawing>
              <wp:anchor distT="0" distB="0" distL="114300" distR="114300" simplePos="0" relativeHeight="251659264" behindDoc="0" locked="1" layoutInCell="1" allowOverlap="0">
                <wp:simplePos x="0" y="0"/>
                <wp:positionH relativeFrom="column">
                  <wp:posOffset>-22225</wp:posOffset>
                </wp:positionH>
                <wp:positionV relativeFrom="page">
                  <wp:posOffset>9064625</wp:posOffset>
                </wp:positionV>
                <wp:extent cx="5939790" cy="635"/>
                <wp:effectExtent l="11430" t="6350" r="11430" b="12065"/>
                <wp:wrapNone/>
                <wp:docPr id="3" name="直线 3"/>
                <wp:cNvGraphicFramePr/>
                <a:graphic xmlns:a="http://schemas.openxmlformats.org/drawingml/2006/main">
                  <a:graphicData uri="http://schemas.microsoft.com/office/word/2010/wordprocessingShape">
                    <wps:wsp>
                      <wps:cNvCnPr>
                        <a:cxnSpLocks noChangeShapeType="1"/>
                      </wps:cNvCnPr>
                      <wps:spPr bwMode="auto">
                        <a:xfrm>
                          <a:off x="0" y="0"/>
                          <a:ext cx="5939790" cy="635"/>
                        </a:xfrm>
                        <a:prstGeom prst="line">
                          <a:avLst/>
                        </a:prstGeom>
                        <a:noFill/>
                        <a:ln w="12232">
                          <a:solidFill>
                            <a:srgbClr val="000000"/>
                          </a:solidFill>
                          <a:round/>
                        </a:ln>
                      </wps:spPr>
                      <wps:bodyPr/>
                    </wps:wsp>
                  </a:graphicData>
                </a:graphic>
              </wp:anchor>
            </w:drawing>
          </mc:Choice>
          <mc:Fallback>
            <w:pict>
              <v:line id="直线 3" o:spid="_x0000_s1026" o:spt="20" style="position:absolute;left:0pt;margin-left:-1.75pt;margin-top:713.75pt;height:0.05pt;width:467.7pt;mso-position-vertical-relative:page;z-index:251659264;mso-width-relative:page;mso-height-relative:page;" filled="f" stroked="t" coordsize="21600,21600" o:allowoverlap="f" o:gfxdata="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BRfeCN1wAAAAwBAAAPAAAAAAAA&#10;AAEAIAAAACIAAABkcnMvZG93bnJldi54bWxQSwECFAAUAAAACACHTuJAm9k1C9oBAACkAwAADgAA&#10;AAAAAAABACAAAAAmAQAAZHJzL2Uyb0RvYy54bWxQSwUGAAAAAAYABgBZAQAAcgUAAAAA&#10;">
                <v:fill on="f" focussize="0,0"/>
                <v:stroke weight="0.963149606299213pt" color="#000000" joinstyle="round"/>
                <v:imagedata o:title=""/>
                <o:lock v:ext="edit" aspectratio="f"/>
                <w10:anchorlock/>
              </v:line>
            </w:pict>
          </mc:Fallback>
        </mc:AlternateContent>
      </w:r>
      <w:r>
        <w:rPr>
          <w:rFonts w:hint="eastAsia"/>
          <w:b/>
          <w:spacing w:val="40"/>
          <w:w w:val="150"/>
          <w:sz w:val="44"/>
          <w:szCs w:val="44"/>
        </w:rPr>
        <w:t>国家市场监督管理总局</w:t>
      </w:r>
      <w:r>
        <w:rPr>
          <w:b/>
          <w:spacing w:val="40"/>
          <w:sz w:val="44"/>
          <w:szCs w:val="44"/>
        </w:rPr>
        <w:t xml:space="preserve"> </w:t>
      </w:r>
      <w:r>
        <w:rPr>
          <w:rFonts w:hint="eastAsia" w:eastAsia="黑体"/>
          <w:sz w:val="28"/>
          <w:szCs w:val="28"/>
        </w:rPr>
        <w:t>发</w:t>
      </w:r>
      <w:r>
        <w:rPr>
          <w:rFonts w:eastAsia="黑体"/>
          <w:sz w:val="28"/>
          <w:szCs w:val="28"/>
        </w:rPr>
        <w:t xml:space="preserve"> </w:t>
      </w:r>
      <w:r>
        <w:rPr>
          <w:rFonts w:hint="eastAsia" w:eastAsia="黑体"/>
          <w:sz w:val="28"/>
          <w:szCs w:val="28"/>
        </w:rPr>
        <w:t>布</w:t>
      </w:r>
    </w:p>
    <w:p w14:paraId="1B96F390">
      <w:pPr>
        <w:spacing w:line="300" w:lineRule="auto"/>
        <w:ind w:right="3600" w:rightChars="1500" w:firstLine="0" w:firstLineChars="0"/>
        <w:jc w:val="center"/>
        <w:rPr>
          <w:rFonts w:eastAsia="黑体"/>
          <w:sz w:val="48"/>
          <w:szCs w:val="48"/>
        </w:rPr>
      </w:pPr>
      <w:r>
        <w:rPr>
          <w:rFonts w:hint="eastAsia" w:eastAsia="黑体"/>
          <w:sz w:val="48"/>
          <w:szCs w:val="48"/>
        </w:rPr>
        <w:t>电动汽车</w:t>
      </w:r>
      <w:bookmarkStart w:id="12" w:name="_GoBack"/>
      <w:bookmarkEnd w:id="12"/>
      <w:r>
        <w:rPr>
          <w:rFonts w:hint="eastAsia" w:eastAsia="黑体"/>
          <w:sz w:val="48"/>
          <w:szCs w:val="48"/>
        </w:rPr>
        <w:t>非车载充电机电能计量数据加密技术规范</w:t>
      </w:r>
    </w:p>
    <w:p w14:paraId="090AA4AC">
      <w:pPr>
        <w:tabs>
          <w:tab w:val="left" w:pos="7560"/>
        </w:tabs>
        <w:adjustRightInd w:val="0"/>
        <w:spacing w:line="300" w:lineRule="auto"/>
        <w:ind w:right="3600" w:rightChars="1500" w:firstLine="0" w:firstLineChars="0"/>
        <w:jc w:val="center"/>
      </w:pPr>
      <w:r>
        <w:rPr>
          <w:rFonts w:eastAsia="黑体"/>
          <w:bCs/>
          <w:sz w:val="28"/>
          <w:szCs w:val="28"/>
        </w:rPr>
        <w:t>Technical Specification for Data Encryption of Electric Energy Metering for Off-Board Chargers of Electric Vehicles</w:t>
      </w:r>
    </w:p>
    <w:p w14:paraId="785C074A">
      <w:pPr>
        <w:framePr w:w="2215" w:h="1123" w:hSpace="181" w:wrap="around" w:vAnchor="page" w:hAnchor="page" w:x="7871" w:y="2255" w:anchorLock="1"/>
        <w:pBdr>
          <w:top w:val="doubleWave" w:color="auto" w:sz="6" w:space="1"/>
          <w:left w:val="doubleWave" w:color="auto" w:sz="6" w:space="1"/>
          <w:bottom w:val="doubleWave" w:color="auto" w:sz="6" w:space="1"/>
          <w:right w:val="doubleWave" w:color="auto" w:sz="6" w:space="1"/>
        </w:pBdr>
        <w:adjustRightInd w:val="0"/>
        <w:spacing w:line="240" w:lineRule="auto"/>
        <w:ind w:firstLine="0" w:firstLineChars="0"/>
        <w:jc w:val="center"/>
        <w:rPr>
          <w:rFonts w:eastAsia="黑体"/>
          <w:sz w:val="28"/>
          <w:szCs w:val="28"/>
        </w:rPr>
      </w:pPr>
      <w:r>
        <w:rPr>
          <w:rFonts w:eastAsia="黑体"/>
          <w:sz w:val="28"/>
          <w:szCs w:val="28"/>
        </w:rPr>
        <w:t>JJF XXXX-XX</w:t>
      </w:r>
    </w:p>
    <w:p w14:paraId="7D90938C">
      <w:pPr>
        <w:framePr w:w="2215" w:h="1123" w:hSpace="181" w:wrap="around" w:vAnchor="page" w:hAnchor="page" w:x="7871" w:y="2255" w:anchorLock="1"/>
        <w:pBdr>
          <w:top w:val="doubleWave" w:color="auto" w:sz="6" w:space="1"/>
          <w:left w:val="doubleWave" w:color="auto" w:sz="6" w:space="1"/>
          <w:bottom w:val="doubleWave" w:color="auto" w:sz="6" w:space="1"/>
          <w:right w:val="doubleWave" w:color="auto" w:sz="6" w:space="1"/>
        </w:pBdr>
        <w:adjustRightInd w:val="0"/>
        <w:ind w:firstLine="560"/>
        <w:jc w:val="center"/>
        <w:rPr>
          <w:rFonts w:eastAsia="黑体"/>
          <w:sz w:val="28"/>
          <w:szCs w:val="28"/>
        </w:rPr>
      </w:pPr>
    </w:p>
    <w:p w14:paraId="2E7950D4"/>
    <w:p w14:paraId="7F1EAF4D">
      <w:r>
        <mc:AlternateContent>
          <mc:Choice Requires="wps">
            <w:drawing>
              <wp:anchor distT="0" distB="0" distL="114300" distR="114300" simplePos="0" relativeHeight="251660288" behindDoc="0" locked="1" layoutInCell="1" allowOverlap="0">
                <wp:simplePos x="0" y="0"/>
                <wp:positionH relativeFrom="column">
                  <wp:posOffset>113030</wp:posOffset>
                </wp:positionH>
                <wp:positionV relativeFrom="page">
                  <wp:posOffset>3001645</wp:posOffset>
                </wp:positionV>
                <wp:extent cx="5868035" cy="635"/>
                <wp:effectExtent l="13335" t="6985" r="5080" b="11430"/>
                <wp:wrapNone/>
                <wp:docPr id="2" name="直线 4"/>
                <wp:cNvGraphicFramePr/>
                <a:graphic xmlns:a="http://schemas.openxmlformats.org/drawingml/2006/main">
                  <a:graphicData uri="http://schemas.microsoft.com/office/word/2010/wordprocessingShape">
                    <wps:wsp>
                      <wps:cNvCnPr>
                        <a:cxnSpLocks noChangeShapeType="1"/>
                      </wps:cNvCnPr>
                      <wps:spPr bwMode="auto">
                        <a:xfrm>
                          <a:off x="0" y="0"/>
                          <a:ext cx="5868035" cy="635"/>
                        </a:xfrm>
                        <a:prstGeom prst="line">
                          <a:avLst/>
                        </a:prstGeom>
                        <a:noFill/>
                        <a:ln w="9849">
                          <a:solidFill>
                            <a:srgbClr val="000000"/>
                          </a:solidFill>
                          <a:round/>
                        </a:ln>
                      </wps:spPr>
                      <wps:bodyPr/>
                    </wps:wsp>
                  </a:graphicData>
                </a:graphic>
              </wp:anchor>
            </w:drawing>
          </mc:Choice>
          <mc:Fallback>
            <w:pict>
              <v:line id="直线 4" o:spid="_x0000_s1026" o:spt="20" style="position:absolute;left:0pt;margin-left:8.9pt;margin-top:236.35pt;height:0.05pt;width:462.05pt;mso-position-vertical-relative:page;z-index:251660288;mso-width-relative:page;mso-height-relative:page;" filled="f" stroked="t" coordsize="21600,21600" o:allowoverlap="f" o:gfxdata="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ptSrftYAAAAKAQAADwAAAAAAAAAB&#10;ACAAAAAiAAAAZHJzL2Rvd25yZXYueG1sUEsBAhQAFAAAAAgAh07iQM4hlOrZAQAAowMAAA4AAAAA&#10;AAAAAQAgAAAAJQEAAGRycy9lMm9Eb2MueG1sUEsFBgAAAAAGAAYAWQEAAHAFAAAAAA==&#10;">
                <v:fill on="f" focussize="0,0"/>
                <v:stroke weight="0.775511811023622pt" color="#000000" joinstyle="round"/>
                <v:imagedata o:title=""/>
                <o:lock v:ext="edit" aspectratio="f"/>
                <w10:anchorlock/>
              </v:line>
            </w:pict>
          </mc:Fallback>
        </mc:AlternateContent>
      </w:r>
    </w:p>
    <w:p w14:paraId="57381874"/>
    <w:p w14:paraId="1E0F012B"/>
    <w:p w14:paraId="40AC9F18">
      <w:pPr>
        <w:adjustRightInd w:val="0"/>
        <w:ind w:firstLine="575"/>
        <w:rPr>
          <w:rFonts w:eastAsia="黑体"/>
          <w:sz w:val="28"/>
          <w:szCs w:val="28"/>
        </w:rPr>
      </w:pPr>
      <w:r>
        <w:rPr>
          <w:rFonts w:hint="eastAsia" w:eastAsia="黑体"/>
          <w:spacing w:val="14"/>
          <w:w w:val="100"/>
          <w:kern w:val="0"/>
          <w:sz w:val="28"/>
          <w:szCs w:val="28"/>
          <w:fitText w:val="1960" w:id="-616227584"/>
        </w:rPr>
        <w:t>归</w:t>
      </w:r>
      <w:r>
        <w:rPr>
          <w:rFonts w:eastAsia="黑体"/>
          <w:spacing w:val="14"/>
          <w:w w:val="100"/>
          <w:kern w:val="0"/>
          <w:sz w:val="28"/>
          <w:szCs w:val="28"/>
          <w:fitText w:val="1960" w:id="-616227584"/>
        </w:rPr>
        <w:t xml:space="preserve">  </w:t>
      </w:r>
      <w:r>
        <w:rPr>
          <w:rFonts w:hint="eastAsia" w:eastAsia="黑体"/>
          <w:spacing w:val="14"/>
          <w:w w:val="100"/>
          <w:kern w:val="0"/>
          <w:sz w:val="28"/>
          <w:szCs w:val="28"/>
          <w:fitText w:val="1960" w:id="-616227584"/>
        </w:rPr>
        <w:t>口</w:t>
      </w:r>
      <w:r>
        <w:rPr>
          <w:rFonts w:eastAsia="黑体"/>
          <w:spacing w:val="14"/>
          <w:w w:val="100"/>
          <w:kern w:val="0"/>
          <w:sz w:val="28"/>
          <w:szCs w:val="28"/>
          <w:fitText w:val="1960" w:id="-616227584"/>
        </w:rPr>
        <w:t xml:space="preserve">  </w:t>
      </w:r>
      <w:r>
        <w:rPr>
          <w:rFonts w:hint="eastAsia" w:eastAsia="黑体"/>
          <w:spacing w:val="14"/>
          <w:w w:val="100"/>
          <w:kern w:val="0"/>
          <w:sz w:val="28"/>
          <w:szCs w:val="28"/>
          <w:fitText w:val="1960" w:id="-616227584"/>
        </w:rPr>
        <w:t>单</w:t>
      </w:r>
      <w:r>
        <w:rPr>
          <w:rFonts w:eastAsia="黑体"/>
          <w:spacing w:val="14"/>
          <w:w w:val="100"/>
          <w:kern w:val="0"/>
          <w:sz w:val="28"/>
          <w:szCs w:val="28"/>
          <w:fitText w:val="1960" w:id="-616227584"/>
        </w:rPr>
        <w:t xml:space="preserve">  </w:t>
      </w:r>
      <w:r>
        <w:rPr>
          <w:rFonts w:hint="eastAsia" w:eastAsia="黑体"/>
          <w:spacing w:val="14"/>
          <w:w w:val="100"/>
          <w:kern w:val="0"/>
          <w:sz w:val="28"/>
          <w:szCs w:val="28"/>
          <w:fitText w:val="1960" w:id="-616227584"/>
        </w:rPr>
        <w:t>位</w:t>
      </w:r>
      <w:r>
        <w:rPr>
          <w:rFonts w:hint="eastAsia" w:eastAsia="黑体"/>
          <w:spacing w:val="0"/>
          <w:w w:val="100"/>
          <w:kern w:val="0"/>
          <w:sz w:val="28"/>
          <w:szCs w:val="28"/>
          <w:fitText w:val="1960" w:id="-616227584"/>
        </w:rPr>
        <w:t>：</w:t>
      </w:r>
      <w:r>
        <w:rPr>
          <w:rFonts w:hint="eastAsia" w:eastAsia="黑体"/>
          <w:sz w:val="28"/>
          <w:szCs w:val="28"/>
        </w:rPr>
        <w:t>全国电磁计量技术委员会高压计量分技术委员会</w:t>
      </w:r>
    </w:p>
    <w:p w14:paraId="396038B5">
      <w:pPr>
        <w:adjustRightInd w:val="0"/>
        <w:ind w:firstLine="560"/>
        <w:rPr>
          <w:rFonts w:eastAsia="黑体"/>
          <w:sz w:val="28"/>
          <w:szCs w:val="28"/>
        </w:rPr>
      </w:pPr>
      <w:r>
        <w:rPr>
          <w:rFonts w:hint="eastAsia" w:eastAsia="黑体"/>
          <w:kern w:val="0"/>
          <w:sz w:val="28"/>
          <w:szCs w:val="28"/>
        </w:rPr>
        <w:t>主要起草单位</w:t>
      </w:r>
      <w:r>
        <w:rPr>
          <w:rFonts w:hint="eastAsia" w:eastAsia="黑体"/>
          <w:sz w:val="28"/>
          <w:szCs w:val="28"/>
        </w:rPr>
        <w:t>：X</w:t>
      </w:r>
      <w:r>
        <w:rPr>
          <w:rFonts w:eastAsia="黑体"/>
          <w:sz w:val="28"/>
          <w:szCs w:val="28"/>
        </w:rPr>
        <w:t>X</w:t>
      </w:r>
    </w:p>
    <w:p w14:paraId="3B6C3B31">
      <w:pPr>
        <w:adjustRightInd w:val="0"/>
        <w:ind w:firstLine="2520" w:firstLineChars="900"/>
        <w:rPr>
          <w:rFonts w:eastAsia="黑体"/>
          <w:sz w:val="28"/>
          <w:szCs w:val="28"/>
        </w:rPr>
      </w:pPr>
      <w:r>
        <w:rPr>
          <w:rFonts w:hint="eastAsia" w:eastAsia="黑体"/>
          <w:sz w:val="28"/>
          <w:szCs w:val="28"/>
        </w:rPr>
        <w:t>X</w:t>
      </w:r>
      <w:r>
        <w:rPr>
          <w:rFonts w:eastAsia="黑体"/>
          <w:sz w:val="28"/>
          <w:szCs w:val="28"/>
        </w:rPr>
        <w:t>X</w:t>
      </w:r>
    </w:p>
    <w:p w14:paraId="42278C8F">
      <w:pPr>
        <w:adjustRightInd w:val="0"/>
        <w:ind w:firstLine="560"/>
        <w:rPr>
          <w:rFonts w:eastAsia="黑体"/>
          <w:sz w:val="28"/>
          <w:szCs w:val="28"/>
        </w:rPr>
      </w:pPr>
      <w:bookmarkStart w:id="0" w:name="_Hlk132297993"/>
      <w:r>
        <w:rPr>
          <w:rFonts w:hint="eastAsia" w:eastAsia="黑体"/>
          <w:kern w:val="0"/>
          <w:sz w:val="28"/>
          <w:szCs w:val="28"/>
        </w:rPr>
        <w:t>参加起草单位</w:t>
      </w:r>
      <w:r>
        <w:rPr>
          <w:rFonts w:hint="eastAsia" w:eastAsia="黑体"/>
          <w:sz w:val="28"/>
          <w:szCs w:val="28"/>
        </w:rPr>
        <w:t>：</w:t>
      </w:r>
      <w:bookmarkEnd w:id="0"/>
      <w:r>
        <w:rPr>
          <w:rFonts w:hint="eastAsia" w:eastAsia="黑体"/>
          <w:sz w:val="28"/>
          <w:szCs w:val="28"/>
        </w:rPr>
        <w:t>X</w:t>
      </w:r>
      <w:r>
        <w:rPr>
          <w:rFonts w:eastAsia="黑体"/>
          <w:sz w:val="28"/>
          <w:szCs w:val="28"/>
        </w:rPr>
        <w:t>X</w:t>
      </w:r>
    </w:p>
    <w:p w14:paraId="024827EA">
      <w:pPr>
        <w:adjustRightInd w:val="0"/>
        <w:ind w:firstLine="2520" w:firstLineChars="900"/>
        <w:rPr>
          <w:rFonts w:eastAsia="黑体"/>
          <w:sz w:val="28"/>
          <w:szCs w:val="28"/>
        </w:rPr>
      </w:pPr>
      <w:r>
        <w:rPr>
          <w:rFonts w:hint="eastAsia" w:eastAsia="黑体"/>
          <w:sz w:val="28"/>
          <w:szCs w:val="28"/>
        </w:rPr>
        <w:t>X</w:t>
      </w:r>
      <w:r>
        <w:rPr>
          <w:rFonts w:eastAsia="黑体"/>
          <w:sz w:val="28"/>
          <w:szCs w:val="28"/>
        </w:rPr>
        <w:t>X</w:t>
      </w:r>
    </w:p>
    <w:p w14:paraId="252FE6F2">
      <w:pPr>
        <w:adjustRightInd w:val="0"/>
        <w:ind w:firstLine="2520" w:firstLineChars="900"/>
        <w:rPr>
          <w:rFonts w:eastAsia="黑体"/>
          <w:sz w:val="28"/>
          <w:szCs w:val="28"/>
        </w:rPr>
      </w:pPr>
      <w:r>
        <w:rPr>
          <w:rFonts w:hint="eastAsia" w:eastAsia="黑体"/>
          <w:sz w:val="28"/>
          <w:szCs w:val="28"/>
        </w:rPr>
        <w:t>X</w:t>
      </w:r>
      <w:r>
        <w:rPr>
          <w:rFonts w:eastAsia="黑体"/>
          <w:sz w:val="28"/>
          <w:szCs w:val="28"/>
        </w:rPr>
        <w:t>X</w:t>
      </w:r>
    </w:p>
    <w:p w14:paraId="39BB8877">
      <w:pPr>
        <w:adjustRightInd w:val="0"/>
        <w:ind w:firstLine="2520" w:firstLineChars="900"/>
      </w:pPr>
      <w:r>
        <w:rPr>
          <w:rFonts w:hint="eastAsia" w:eastAsia="黑体"/>
          <w:sz w:val="28"/>
          <w:szCs w:val="28"/>
        </w:rPr>
        <w:t>X</w:t>
      </w:r>
      <w:r>
        <w:rPr>
          <w:rFonts w:eastAsia="黑体"/>
          <w:sz w:val="28"/>
          <w:szCs w:val="28"/>
        </w:rPr>
        <w:t>X</w:t>
      </w:r>
    </w:p>
    <w:p w14:paraId="6A6F10B3"/>
    <w:p w14:paraId="41E08A34"/>
    <w:p w14:paraId="5E22CB4C"/>
    <w:p w14:paraId="77DE1DB7"/>
    <w:p w14:paraId="1F26E008"/>
    <w:p w14:paraId="316D51C6"/>
    <w:p w14:paraId="49E6DB9E"/>
    <w:p w14:paraId="38840933"/>
    <w:p w14:paraId="3C61CA56"/>
    <w:p w14:paraId="0E9C12CC">
      <w:pPr>
        <w:adjustRightInd w:val="0"/>
        <w:snapToGrid/>
        <w:spacing w:line="240" w:lineRule="auto"/>
        <w:ind w:firstLine="0" w:firstLineChars="0"/>
        <w:jc w:val="center"/>
        <w:rPr>
          <w:sz w:val="28"/>
        </w:rPr>
      </w:pPr>
      <w:r>
        <w:rPr>
          <w:rFonts w:hint="eastAsia"/>
          <w:sz w:val="28"/>
        </w:rPr>
        <w:t>本规范委托全国电磁计量技术委员会高压计量分技术委员会负责解释。</w:t>
      </w:r>
    </w:p>
    <w:p w14:paraId="1489CF83">
      <w:r>
        <w:br w:type="page"/>
      </w:r>
    </w:p>
    <w:p w14:paraId="05EA9F4C">
      <w:pPr>
        <w:adjustRightInd w:val="0"/>
        <w:snapToGrid/>
        <w:ind w:firstLine="420" w:firstLineChars="150"/>
        <w:rPr>
          <w:rFonts w:eastAsia="黑体"/>
          <w:sz w:val="28"/>
          <w:szCs w:val="20"/>
        </w:rPr>
      </w:pPr>
    </w:p>
    <w:p w14:paraId="14EDDDC2">
      <w:pPr>
        <w:adjustRightInd w:val="0"/>
        <w:snapToGrid/>
        <w:ind w:firstLine="420" w:firstLineChars="150"/>
        <w:rPr>
          <w:rFonts w:eastAsia="黑体"/>
          <w:sz w:val="28"/>
          <w:szCs w:val="20"/>
        </w:rPr>
      </w:pPr>
    </w:p>
    <w:p w14:paraId="04612955">
      <w:pPr>
        <w:adjustRightInd w:val="0"/>
        <w:snapToGrid/>
        <w:ind w:firstLine="420" w:firstLineChars="150"/>
        <w:rPr>
          <w:rFonts w:eastAsia="黑体"/>
          <w:sz w:val="28"/>
          <w:szCs w:val="20"/>
        </w:rPr>
      </w:pPr>
    </w:p>
    <w:p w14:paraId="1E7B4ACB">
      <w:pPr>
        <w:adjustRightInd w:val="0"/>
        <w:snapToGrid/>
        <w:ind w:firstLine="420" w:firstLineChars="150"/>
        <w:rPr>
          <w:rFonts w:eastAsia="黑体"/>
          <w:sz w:val="28"/>
          <w:szCs w:val="20"/>
        </w:rPr>
      </w:pPr>
      <w:r>
        <w:rPr>
          <w:rFonts w:hint="eastAsia" w:eastAsia="黑体"/>
          <w:sz w:val="28"/>
          <w:szCs w:val="20"/>
        </w:rPr>
        <w:t>本规范主要起草人：</w:t>
      </w:r>
    </w:p>
    <w:p w14:paraId="7AF107F6">
      <w:pPr>
        <w:adjustRightInd w:val="0"/>
        <w:snapToGrid/>
        <w:ind w:firstLine="1820" w:firstLineChars="650"/>
        <w:rPr>
          <w:rFonts w:eastAsia="黑体"/>
          <w:sz w:val="28"/>
          <w:szCs w:val="20"/>
        </w:rPr>
      </w:pPr>
      <w:r>
        <w:rPr>
          <w:rFonts w:hint="eastAsia" w:eastAsia="黑体"/>
          <w:sz w:val="28"/>
          <w:szCs w:val="20"/>
        </w:rPr>
        <w:t>X</w:t>
      </w:r>
      <w:r>
        <w:rPr>
          <w:rFonts w:eastAsia="黑体"/>
          <w:sz w:val="28"/>
          <w:szCs w:val="20"/>
        </w:rPr>
        <w:t>XX</w:t>
      </w:r>
      <w:r>
        <w:rPr>
          <w:rFonts w:hint="eastAsia" w:eastAsia="黑体"/>
          <w:sz w:val="28"/>
          <w:szCs w:val="20"/>
        </w:rPr>
        <w:t>（X</w:t>
      </w:r>
      <w:r>
        <w:rPr>
          <w:rFonts w:eastAsia="黑体"/>
          <w:sz w:val="28"/>
          <w:szCs w:val="20"/>
        </w:rPr>
        <w:t>XX</w:t>
      </w:r>
      <w:r>
        <w:rPr>
          <w:rFonts w:hint="eastAsia" w:eastAsia="黑体"/>
          <w:sz w:val="28"/>
          <w:szCs w:val="20"/>
        </w:rPr>
        <w:t>）</w:t>
      </w:r>
    </w:p>
    <w:p w14:paraId="0BCB6DBE">
      <w:pPr>
        <w:adjustRightInd w:val="0"/>
        <w:snapToGrid/>
        <w:ind w:firstLine="1820" w:firstLineChars="650"/>
        <w:rPr>
          <w:rFonts w:eastAsia="黑体"/>
          <w:sz w:val="28"/>
          <w:szCs w:val="20"/>
        </w:rPr>
      </w:pPr>
      <w:r>
        <w:rPr>
          <w:rFonts w:hint="eastAsia" w:eastAsia="黑体"/>
          <w:sz w:val="28"/>
          <w:szCs w:val="20"/>
        </w:rPr>
        <w:t>X</w:t>
      </w:r>
      <w:r>
        <w:rPr>
          <w:rFonts w:eastAsia="黑体"/>
          <w:sz w:val="28"/>
          <w:szCs w:val="20"/>
        </w:rPr>
        <w:t>XX</w:t>
      </w:r>
      <w:r>
        <w:rPr>
          <w:rFonts w:hint="eastAsia" w:eastAsia="黑体"/>
          <w:sz w:val="28"/>
          <w:szCs w:val="20"/>
        </w:rPr>
        <w:t>（X</w:t>
      </w:r>
      <w:r>
        <w:rPr>
          <w:rFonts w:eastAsia="黑体"/>
          <w:sz w:val="28"/>
          <w:szCs w:val="20"/>
        </w:rPr>
        <w:t>XX</w:t>
      </w:r>
      <w:r>
        <w:rPr>
          <w:rFonts w:hint="eastAsia" w:eastAsia="黑体"/>
          <w:sz w:val="28"/>
          <w:szCs w:val="20"/>
        </w:rPr>
        <w:t>）</w:t>
      </w:r>
    </w:p>
    <w:p w14:paraId="163DD1CA">
      <w:pPr>
        <w:adjustRightInd w:val="0"/>
        <w:snapToGrid/>
        <w:ind w:firstLine="1820" w:firstLineChars="650"/>
        <w:rPr>
          <w:rFonts w:eastAsia="黑体"/>
          <w:sz w:val="28"/>
          <w:szCs w:val="20"/>
        </w:rPr>
      </w:pPr>
      <w:r>
        <w:rPr>
          <w:rFonts w:hint="eastAsia" w:eastAsia="黑体"/>
          <w:sz w:val="28"/>
          <w:szCs w:val="20"/>
        </w:rPr>
        <w:t>X</w:t>
      </w:r>
      <w:r>
        <w:rPr>
          <w:rFonts w:eastAsia="黑体"/>
          <w:sz w:val="28"/>
          <w:szCs w:val="20"/>
        </w:rPr>
        <w:t>XX</w:t>
      </w:r>
      <w:r>
        <w:rPr>
          <w:rFonts w:hint="eastAsia" w:eastAsia="黑体"/>
          <w:sz w:val="28"/>
          <w:szCs w:val="20"/>
        </w:rPr>
        <w:t>（X</w:t>
      </w:r>
      <w:r>
        <w:rPr>
          <w:rFonts w:eastAsia="黑体"/>
          <w:sz w:val="28"/>
          <w:szCs w:val="20"/>
        </w:rPr>
        <w:t>XX</w:t>
      </w:r>
      <w:r>
        <w:rPr>
          <w:rFonts w:hint="eastAsia" w:eastAsia="黑体"/>
          <w:sz w:val="28"/>
          <w:szCs w:val="20"/>
        </w:rPr>
        <w:t>）</w:t>
      </w:r>
    </w:p>
    <w:p w14:paraId="5CA5FBF6">
      <w:pPr>
        <w:adjustRightInd w:val="0"/>
        <w:snapToGrid/>
        <w:ind w:firstLine="980" w:firstLineChars="350"/>
        <w:rPr>
          <w:rFonts w:eastAsia="黑体"/>
          <w:sz w:val="28"/>
          <w:szCs w:val="20"/>
        </w:rPr>
      </w:pPr>
      <w:r>
        <w:rPr>
          <w:rFonts w:eastAsia="黑体"/>
          <w:sz w:val="28"/>
          <w:szCs w:val="20"/>
        </w:rPr>
        <w:t>参加起草人：</w:t>
      </w:r>
    </w:p>
    <w:p w14:paraId="66BFF471">
      <w:pPr>
        <w:adjustRightInd w:val="0"/>
        <w:snapToGrid/>
        <w:ind w:firstLine="1820" w:firstLineChars="650"/>
        <w:rPr>
          <w:rFonts w:eastAsia="黑体"/>
          <w:sz w:val="28"/>
          <w:szCs w:val="20"/>
        </w:rPr>
      </w:pPr>
      <w:r>
        <w:rPr>
          <w:rFonts w:hint="eastAsia" w:eastAsia="黑体"/>
          <w:sz w:val="28"/>
          <w:szCs w:val="20"/>
        </w:rPr>
        <w:t>X</w:t>
      </w:r>
      <w:r>
        <w:rPr>
          <w:rFonts w:eastAsia="黑体"/>
          <w:sz w:val="28"/>
          <w:szCs w:val="20"/>
        </w:rPr>
        <w:t>XX</w:t>
      </w:r>
      <w:r>
        <w:rPr>
          <w:rFonts w:hint="eastAsia" w:eastAsia="黑体"/>
          <w:sz w:val="28"/>
          <w:szCs w:val="20"/>
        </w:rPr>
        <w:t>（X</w:t>
      </w:r>
      <w:r>
        <w:rPr>
          <w:rFonts w:eastAsia="黑体"/>
          <w:sz w:val="28"/>
          <w:szCs w:val="20"/>
        </w:rPr>
        <w:t>XX</w:t>
      </w:r>
      <w:r>
        <w:rPr>
          <w:rFonts w:hint="eastAsia" w:eastAsia="黑体"/>
          <w:sz w:val="28"/>
          <w:szCs w:val="20"/>
        </w:rPr>
        <w:t>）</w:t>
      </w:r>
    </w:p>
    <w:p w14:paraId="6D11785A">
      <w:pPr>
        <w:adjustRightInd w:val="0"/>
        <w:snapToGrid/>
        <w:ind w:firstLine="1820" w:firstLineChars="650"/>
        <w:rPr>
          <w:rFonts w:eastAsia="黑体"/>
          <w:sz w:val="28"/>
          <w:szCs w:val="20"/>
        </w:rPr>
      </w:pPr>
      <w:r>
        <w:rPr>
          <w:rFonts w:hint="eastAsia" w:eastAsia="黑体"/>
          <w:sz w:val="28"/>
          <w:szCs w:val="20"/>
        </w:rPr>
        <w:t>X</w:t>
      </w:r>
      <w:r>
        <w:rPr>
          <w:rFonts w:eastAsia="黑体"/>
          <w:sz w:val="28"/>
          <w:szCs w:val="20"/>
        </w:rPr>
        <w:t>XX</w:t>
      </w:r>
      <w:r>
        <w:rPr>
          <w:rFonts w:hint="eastAsia" w:eastAsia="黑体"/>
          <w:sz w:val="28"/>
          <w:szCs w:val="20"/>
        </w:rPr>
        <w:t>（X</w:t>
      </w:r>
      <w:r>
        <w:rPr>
          <w:rFonts w:eastAsia="黑体"/>
          <w:sz w:val="28"/>
          <w:szCs w:val="20"/>
        </w:rPr>
        <w:t>XX</w:t>
      </w:r>
      <w:r>
        <w:rPr>
          <w:rFonts w:hint="eastAsia" w:eastAsia="黑体"/>
          <w:sz w:val="28"/>
          <w:szCs w:val="20"/>
        </w:rPr>
        <w:t>）</w:t>
      </w:r>
    </w:p>
    <w:p w14:paraId="524304B6">
      <w:pPr>
        <w:adjustRightInd w:val="0"/>
        <w:snapToGrid/>
        <w:ind w:firstLine="1820" w:firstLineChars="650"/>
        <w:rPr>
          <w:rFonts w:eastAsia="黑体"/>
          <w:sz w:val="28"/>
          <w:szCs w:val="20"/>
        </w:rPr>
      </w:pPr>
      <w:r>
        <w:rPr>
          <w:rFonts w:hint="eastAsia" w:eastAsia="黑体"/>
          <w:sz w:val="28"/>
          <w:szCs w:val="20"/>
        </w:rPr>
        <w:t>X</w:t>
      </w:r>
      <w:r>
        <w:rPr>
          <w:rFonts w:eastAsia="黑体"/>
          <w:sz w:val="28"/>
          <w:szCs w:val="20"/>
        </w:rPr>
        <w:t>XX</w:t>
      </w:r>
      <w:r>
        <w:rPr>
          <w:rFonts w:hint="eastAsia" w:eastAsia="黑体"/>
          <w:sz w:val="28"/>
          <w:szCs w:val="20"/>
        </w:rPr>
        <w:t>（X</w:t>
      </w:r>
      <w:r>
        <w:rPr>
          <w:rFonts w:eastAsia="黑体"/>
          <w:sz w:val="28"/>
          <w:szCs w:val="20"/>
        </w:rPr>
        <w:t>XX</w:t>
      </w:r>
      <w:r>
        <w:rPr>
          <w:rFonts w:hint="eastAsia" w:eastAsia="黑体"/>
          <w:sz w:val="28"/>
          <w:szCs w:val="20"/>
        </w:rPr>
        <w:t>）</w:t>
      </w:r>
    </w:p>
    <w:p w14:paraId="7018A93C">
      <w:pPr>
        <w:adjustRightInd w:val="0"/>
        <w:snapToGrid/>
        <w:ind w:firstLine="1820" w:firstLineChars="650"/>
        <w:rPr>
          <w:rFonts w:eastAsia="黑体"/>
          <w:sz w:val="28"/>
          <w:szCs w:val="20"/>
        </w:rPr>
      </w:pPr>
      <w:r>
        <w:rPr>
          <w:rFonts w:hint="eastAsia" w:eastAsia="黑体"/>
          <w:sz w:val="28"/>
          <w:szCs w:val="20"/>
        </w:rPr>
        <w:t>X</w:t>
      </w:r>
      <w:r>
        <w:rPr>
          <w:rFonts w:eastAsia="黑体"/>
          <w:sz w:val="28"/>
          <w:szCs w:val="20"/>
        </w:rPr>
        <w:t>XX</w:t>
      </w:r>
      <w:r>
        <w:rPr>
          <w:rFonts w:hint="eastAsia" w:eastAsia="黑体"/>
          <w:sz w:val="28"/>
          <w:szCs w:val="20"/>
        </w:rPr>
        <w:t>（X</w:t>
      </w:r>
      <w:r>
        <w:rPr>
          <w:rFonts w:eastAsia="黑体"/>
          <w:sz w:val="28"/>
          <w:szCs w:val="20"/>
        </w:rPr>
        <w:t>XX</w:t>
      </w:r>
      <w:r>
        <w:rPr>
          <w:rFonts w:hint="eastAsia" w:eastAsia="黑体"/>
          <w:sz w:val="28"/>
          <w:szCs w:val="20"/>
        </w:rPr>
        <w:t>）</w:t>
      </w:r>
    </w:p>
    <w:p w14:paraId="7D214AF2"/>
    <w:p w14:paraId="01451257"/>
    <w:p w14:paraId="51DD40C9"/>
    <w:p w14:paraId="300B4D2B"/>
    <w:p w14:paraId="3C9C2A03"/>
    <w:p w14:paraId="4E048231">
      <w:pPr>
        <w:sectPr>
          <w:headerReference r:id="rId11" w:type="first"/>
          <w:pgSz w:w="11906" w:h="16838"/>
          <w:pgMar w:top="1985" w:right="1134" w:bottom="1418" w:left="1418" w:header="1191" w:footer="1304" w:gutter="0"/>
          <w:pgNumType w:start="1"/>
          <w:cols w:space="720" w:num="1"/>
          <w:titlePg/>
          <w:docGrid w:type="linesAndChars" w:linePitch="326" w:charSpace="0"/>
        </w:sectPr>
      </w:pPr>
    </w:p>
    <w:p w14:paraId="1E03681F">
      <w:pPr>
        <w:snapToGrid/>
        <w:ind w:firstLine="0" w:firstLineChars="0"/>
        <w:jc w:val="center"/>
        <w:outlineLvl w:val="0"/>
        <w:rPr>
          <w:rFonts w:ascii="黑体" w:eastAsia="黑体"/>
          <w:b/>
          <w:sz w:val="52"/>
          <w:szCs w:val="52"/>
        </w:rPr>
      </w:pPr>
      <w:bookmarkStart w:id="1" w:name="_Toc132100079"/>
      <w:r>
        <w:rPr>
          <w:rFonts w:hint="eastAsia" w:ascii="黑体" w:eastAsia="黑体"/>
          <w:b/>
          <w:sz w:val="52"/>
          <w:szCs w:val="52"/>
        </w:rPr>
        <w:t>目</w:t>
      </w:r>
      <w:r>
        <w:rPr>
          <w:rFonts w:ascii="黑体" w:eastAsia="黑体"/>
          <w:b/>
          <w:sz w:val="52"/>
          <w:szCs w:val="52"/>
        </w:rPr>
        <w:t xml:space="preserve"> </w:t>
      </w:r>
      <w:r>
        <w:rPr>
          <w:rFonts w:hint="eastAsia" w:ascii="黑体" w:eastAsia="黑体"/>
          <w:b/>
          <w:sz w:val="52"/>
          <w:szCs w:val="52"/>
        </w:rPr>
        <w:t>录</w:t>
      </w:r>
      <w:bookmarkEnd w:id="1"/>
    </w:p>
    <w:p w14:paraId="03BE2A55">
      <w:pPr>
        <w:pStyle w:val="22"/>
        <w:spacing w:line="276" w:lineRule="auto"/>
        <w:ind w:firstLine="420"/>
        <w:rPr>
          <w:rFonts w:asciiTheme="minorHAnsi" w:hAnsiTheme="minorHAnsi" w:eastAsiaTheme="minorEastAsia" w:cstheme="minorBidi"/>
          <w:sz w:val="21"/>
          <w:szCs w:val="22"/>
        </w:rPr>
      </w:pPr>
      <w:r>
        <w:rPr>
          <w:sz w:val="21"/>
          <w:szCs w:val="21"/>
        </w:rPr>
        <w:fldChar w:fldCharType="begin"/>
      </w:r>
      <w:r>
        <w:rPr>
          <w:sz w:val="21"/>
          <w:szCs w:val="21"/>
        </w:rPr>
        <w:instrText xml:space="preserve"> TOC \o "1-2" \h \z \u </w:instrText>
      </w:r>
      <w:r>
        <w:rPr>
          <w:sz w:val="21"/>
          <w:szCs w:val="21"/>
        </w:rPr>
        <w:fldChar w:fldCharType="separate"/>
      </w:r>
    </w:p>
    <w:p w14:paraId="316AB3C8">
      <w:pPr>
        <w:pStyle w:val="22"/>
        <w:spacing w:line="276" w:lineRule="auto"/>
        <w:rPr>
          <w:rFonts w:asciiTheme="minorHAnsi" w:hAnsiTheme="minorHAnsi" w:eastAsiaTheme="minorEastAsia" w:cstheme="minorBidi"/>
          <w:sz w:val="21"/>
          <w:szCs w:val="22"/>
        </w:rPr>
      </w:pPr>
      <w:r>
        <w:fldChar w:fldCharType="begin"/>
      </w:r>
      <w:r>
        <w:instrText xml:space="preserve"> HYPERLINK \l "_Toc132100080" </w:instrText>
      </w:r>
      <w:r>
        <w:fldChar w:fldCharType="separate"/>
      </w:r>
      <w:r>
        <w:rPr>
          <w:rStyle w:val="32"/>
          <w:rFonts w:ascii="黑体" w:eastAsia="黑体"/>
          <w:b/>
        </w:rPr>
        <w:t>引言</w:t>
      </w:r>
      <w:r>
        <w:tab/>
      </w:r>
      <w:r>
        <w:fldChar w:fldCharType="begin"/>
      </w:r>
      <w:r>
        <w:instrText xml:space="preserve"> PAGEREF _Toc132100080 \h </w:instrText>
      </w:r>
      <w:r>
        <w:fldChar w:fldCharType="separate"/>
      </w:r>
      <w:r>
        <w:t>II</w:t>
      </w:r>
      <w:r>
        <w:fldChar w:fldCharType="end"/>
      </w:r>
      <w:r>
        <w:fldChar w:fldCharType="end"/>
      </w:r>
    </w:p>
    <w:p w14:paraId="657FBC45">
      <w:pPr>
        <w:pStyle w:val="22"/>
        <w:spacing w:line="276" w:lineRule="auto"/>
        <w:rPr>
          <w:rFonts w:asciiTheme="minorHAnsi" w:hAnsiTheme="minorHAnsi" w:eastAsiaTheme="minorEastAsia" w:cstheme="minorBidi"/>
          <w:sz w:val="21"/>
          <w:szCs w:val="22"/>
        </w:rPr>
      </w:pPr>
      <w:r>
        <w:fldChar w:fldCharType="begin"/>
      </w:r>
      <w:r>
        <w:instrText xml:space="preserve"> HYPERLINK \l "_Toc132100081" </w:instrText>
      </w:r>
      <w:r>
        <w:fldChar w:fldCharType="separate"/>
      </w:r>
      <w:r>
        <w:rPr>
          <w:rStyle w:val="32"/>
          <w:rFonts w:hAnsi="黑体"/>
        </w:rPr>
        <w:t>1 范围</w:t>
      </w:r>
      <w:r>
        <w:tab/>
      </w:r>
      <w:r>
        <w:fldChar w:fldCharType="begin"/>
      </w:r>
      <w:r>
        <w:instrText xml:space="preserve"> PAGEREF _Toc132100081 \h </w:instrText>
      </w:r>
      <w:r>
        <w:fldChar w:fldCharType="separate"/>
      </w:r>
      <w:r>
        <w:t>1</w:t>
      </w:r>
      <w:r>
        <w:fldChar w:fldCharType="end"/>
      </w:r>
      <w:r>
        <w:fldChar w:fldCharType="end"/>
      </w:r>
    </w:p>
    <w:p w14:paraId="7066A13E">
      <w:pPr>
        <w:pStyle w:val="22"/>
        <w:spacing w:line="276" w:lineRule="auto"/>
        <w:rPr>
          <w:rFonts w:asciiTheme="minorHAnsi" w:hAnsiTheme="minorHAnsi" w:eastAsiaTheme="minorEastAsia" w:cstheme="minorBidi"/>
          <w:sz w:val="21"/>
          <w:szCs w:val="22"/>
        </w:rPr>
      </w:pPr>
      <w:r>
        <w:fldChar w:fldCharType="begin"/>
      </w:r>
      <w:r>
        <w:instrText xml:space="preserve"> HYPERLINK \l "_Toc132100082" </w:instrText>
      </w:r>
      <w:r>
        <w:fldChar w:fldCharType="separate"/>
      </w:r>
      <w:r>
        <w:rPr>
          <w:rStyle w:val="32"/>
          <w:rFonts w:hAnsi="黑体"/>
        </w:rPr>
        <w:t>2</w:t>
      </w:r>
      <w:r>
        <w:rPr>
          <w:rStyle w:val="32"/>
        </w:rPr>
        <w:t xml:space="preserve"> 引用文件</w:t>
      </w:r>
      <w:r>
        <w:tab/>
      </w:r>
      <w:r>
        <w:fldChar w:fldCharType="begin"/>
      </w:r>
      <w:r>
        <w:instrText xml:space="preserve"> PAGEREF _Toc132100082 \h </w:instrText>
      </w:r>
      <w:r>
        <w:fldChar w:fldCharType="separate"/>
      </w:r>
      <w:r>
        <w:t>1</w:t>
      </w:r>
      <w:r>
        <w:fldChar w:fldCharType="end"/>
      </w:r>
      <w:r>
        <w:fldChar w:fldCharType="end"/>
      </w:r>
    </w:p>
    <w:p w14:paraId="2C44C33B">
      <w:pPr>
        <w:pStyle w:val="22"/>
        <w:spacing w:line="276" w:lineRule="auto"/>
        <w:rPr>
          <w:rFonts w:asciiTheme="minorHAnsi" w:hAnsiTheme="minorHAnsi" w:eastAsiaTheme="minorEastAsia" w:cstheme="minorBidi"/>
          <w:sz w:val="21"/>
          <w:szCs w:val="22"/>
        </w:rPr>
      </w:pPr>
      <w:r>
        <w:fldChar w:fldCharType="begin"/>
      </w:r>
      <w:r>
        <w:instrText xml:space="preserve"> HYPERLINK \l "_Toc132100083" </w:instrText>
      </w:r>
      <w:r>
        <w:fldChar w:fldCharType="separate"/>
      </w:r>
      <w:r>
        <w:rPr>
          <w:rStyle w:val="32"/>
          <w:rFonts w:hAnsi="黑体"/>
        </w:rPr>
        <w:t>3</w:t>
      </w:r>
      <w:r>
        <w:rPr>
          <w:rStyle w:val="32"/>
        </w:rPr>
        <w:t xml:space="preserve"> 术语</w:t>
      </w:r>
      <w:r>
        <w:tab/>
      </w:r>
      <w:r>
        <w:fldChar w:fldCharType="begin"/>
      </w:r>
      <w:r>
        <w:instrText xml:space="preserve"> PAGEREF _Toc132100083 \h </w:instrText>
      </w:r>
      <w:r>
        <w:fldChar w:fldCharType="separate"/>
      </w:r>
      <w:r>
        <w:t>1</w:t>
      </w:r>
      <w:r>
        <w:fldChar w:fldCharType="end"/>
      </w:r>
      <w:r>
        <w:fldChar w:fldCharType="end"/>
      </w:r>
    </w:p>
    <w:p w14:paraId="65028413">
      <w:pPr>
        <w:pStyle w:val="24"/>
        <w:spacing w:line="276" w:lineRule="auto"/>
        <w:rPr>
          <w:rFonts w:asciiTheme="minorHAnsi" w:hAnsiTheme="minorHAnsi" w:eastAsiaTheme="minorEastAsia" w:cstheme="minorBidi"/>
          <w:sz w:val="21"/>
          <w:szCs w:val="22"/>
        </w:rPr>
      </w:pPr>
      <w:r>
        <w:fldChar w:fldCharType="begin"/>
      </w:r>
      <w:r>
        <w:instrText xml:space="preserve"> HYPERLINK \l "_Toc132100084" </w:instrText>
      </w:r>
      <w:r>
        <w:fldChar w:fldCharType="separate"/>
      </w:r>
      <w:r>
        <w:rPr>
          <w:rStyle w:val="32"/>
        </w:rPr>
        <w:t>3.1 线损</w:t>
      </w:r>
      <w:r>
        <w:tab/>
      </w:r>
      <w:r>
        <w:fldChar w:fldCharType="begin"/>
      </w:r>
      <w:r>
        <w:instrText xml:space="preserve"> PAGEREF _Toc132100084 \h </w:instrText>
      </w:r>
      <w:r>
        <w:fldChar w:fldCharType="separate"/>
      </w:r>
      <w:r>
        <w:t>1</w:t>
      </w:r>
      <w:r>
        <w:fldChar w:fldCharType="end"/>
      </w:r>
      <w:r>
        <w:fldChar w:fldCharType="end"/>
      </w:r>
    </w:p>
    <w:p w14:paraId="2C91BE58">
      <w:pPr>
        <w:pStyle w:val="24"/>
        <w:spacing w:line="276" w:lineRule="auto"/>
        <w:rPr>
          <w:rFonts w:asciiTheme="minorHAnsi" w:hAnsiTheme="minorHAnsi" w:eastAsiaTheme="minorEastAsia" w:cstheme="minorBidi"/>
          <w:sz w:val="21"/>
          <w:szCs w:val="22"/>
        </w:rPr>
      </w:pPr>
      <w:r>
        <w:fldChar w:fldCharType="begin"/>
      </w:r>
      <w:r>
        <w:instrText xml:space="preserve"> HYPERLINK \l "_Toc132100085" </w:instrText>
      </w:r>
      <w:r>
        <w:fldChar w:fldCharType="separate"/>
      </w:r>
      <w:r>
        <w:rPr>
          <w:rStyle w:val="32"/>
        </w:rPr>
        <w:t>3.2 理论线损率</w:t>
      </w:r>
      <w:r>
        <w:tab/>
      </w:r>
      <w:r>
        <w:fldChar w:fldCharType="begin"/>
      </w:r>
      <w:r>
        <w:instrText xml:space="preserve"> PAGEREF _Toc132100085 \h </w:instrText>
      </w:r>
      <w:r>
        <w:fldChar w:fldCharType="separate"/>
      </w:r>
      <w:r>
        <w:t>1</w:t>
      </w:r>
      <w:r>
        <w:fldChar w:fldCharType="end"/>
      </w:r>
      <w:r>
        <w:fldChar w:fldCharType="end"/>
      </w:r>
    </w:p>
    <w:p w14:paraId="6E400FF5">
      <w:pPr>
        <w:pStyle w:val="24"/>
        <w:spacing w:line="276" w:lineRule="auto"/>
        <w:rPr>
          <w:rFonts w:asciiTheme="minorHAnsi" w:hAnsiTheme="minorHAnsi" w:eastAsiaTheme="minorEastAsia" w:cstheme="minorBidi"/>
          <w:sz w:val="21"/>
          <w:szCs w:val="22"/>
        </w:rPr>
      </w:pPr>
      <w:r>
        <w:fldChar w:fldCharType="begin"/>
      </w:r>
      <w:r>
        <w:instrText xml:space="preserve"> HYPERLINK \l "_Toc132100086" </w:instrText>
      </w:r>
      <w:r>
        <w:fldChar w:fldCharType="separate"/>
      </w:r>
      <w:r>
        <w:rPr>
          <w:rStyle w:val="32"/>
        </w:rPr>
        <w:t>3.3 同期线损率</w:t>
      </w:r>
      <w:r>
        <w:tab/>
      </w:r>
      <w:r>
        <w:fldChar w:fldCharType="begin"/>
      </w:r>
      <w:r>
        <w:instrText xml:space="preserve"> PAGEREF _Toc132100086 \h </w:instrText>
      </w:r>
      <w:r>
        <w:fldChar w:fldCharType="separate"/>
      </w:r>
      <w:r>
        <w:t>2</w:t>
      </w:r>
      <w:r>
        <w:fldChar w:fldCharType="end"/>
      </w:r>
      <w:r>
        <w:fldChar w:fldCharType="end"/>
      </w:r>
    </w:p>
    <w:p w14:paraId="2AB1099D">
      <w:pPr>
        <w:pStyle w:val="24"/>
        <w:spacing w:line="276" w:lineRule="auto"/>
        <w:rPr>
          <w:rFonts w:asciiTheme="minorHAnsi" w:hAnsiTheme="minorHAnsi" w:eastAsiaTheme="minorEastAsia" w:cstheme="minorBidi"/>
          <w:sz w:val="21"/>
          <w:szCs w:val="22"/>
        </w:rPr>
      </w:pPr>
      <w:r>
        <w:fldChar w:fldCharType="begin"/>
      </w:r>
      <w:r>
        <w:instrText xml:space="preserve"> HYPERLINK \l "_Toc132100087" </w:instrText>
      </w:r>
      <w:r>
        <w:fldChar w:fldCharType="separate"/>
      </w:r>
      <w:r>
        <w:rPr>
          <w:rStyle w:val="32"/>
        </w:rPr>
        <w:t>3.4 电能计量点</w:t>
      </w:r>
      <w:r>
        <w:tab/>
      </w:r>
      <w:r>
        <w:fldChar w:fldCharType="begin"/>
      </w:r>
      <w:r>
        <w:instrText xml:space="preserve"> PAGEREF _Toc132100087 \h </w:instrText>
      </w:r>
      <w:r>
        <w:fldChar w:fldCharType="separate"/>
      </w:r>
      <w:r>
        <w:t>2</w:t>
      </w:r>
      <w:r>
        <w:fldChar w:fldCharType="end"/>
      </w:r>
      <w:r>
        <w:fldChar w:fldCharType="end"/>
      </w:r>
    </w:p>
    <w:p w14:paraId="64CA9D2E">
      <w:pPr>
        <w:pStyle w:val="24"/>
        <w:spacing w:line="276" w:lineRule="auto"/>
        <w:rPr>
          <w:rFonts w:asciiTheme="minorHAnsi" w:hAnsiTheme="minorHAnsi" w:eastAsiaTheme="minorEastAsia" w:cstheme="minorBidi"/>
          <w:sz w:val="21"/>
          <w:szCs w:val="22"/>
        </w:rPr>
      </w:pPr>
      <w:r>
        <w:fldChar w:fldCharType="begin"/>
      </w:r>
      <w:r>
        <w:instrText xml:space="preserve"> HYPERLINK \l "_Toc132100088" </w:instrText>
      </w:r>
      <w:r>
        <w:fldChar w:fldCharType="separate"/>
      </w:r>
      <w:r>
        <w:rPr>
          <w:rStyle w:val="32"/>
        </w:rPr>
        <w:t>3.5 配电自动化终端</w:t>
      </w:r>
      <w:r>
        <w:tab/>
      </w:r>
      <w:r>
        <w:fldChar w:fldCharType="begin"/>
      </w:r>
      <w:r>
        <w:instrText xml:space="preserve"> PAGEREF _Toc132100088 \h </w:instrText>
      </w:r>
      <w:r>
        <w:fldChar w:fldCharType="separate"/>
      </w:r>
      <w:r>
        <w:t>2</w:t>
      </w:r>
      <w:r>
        <w:fldChar w:fldCharType="end"/>
      </w:r>
      <w:r>
        <w:fldChar w:fldCharType="end"/>
      </w:r>
    </w:p>
    <w:p w14:paraId="4BFCE30C">
      <w:pPr>
        <w:pStyle w:val="22"/>
        <w:spacing w:line="276" w:lineRule="auto"/>
        <w:rPr>
          <w:rFonts w:asciiTheme="minorHAnsi" w:hAnsiTheme="minorHAnsi" w:eastAsiaTheme="minorEastAsia" w:cstheme="minorBidi"/>
          <w:sz w:val="21"/>
          <w:szCs w:val="22"/>
        </w:rPr>
      </w:pPr>
      <w:r>
        <w:fldChar w:fldCharType="begin"/>
      </w:r>
      <w:r>
        <w:instrText xml:space="preserve"> HYPERLINK \l "_Toc132100089" </w:instrText>
      </w:r>
      <w:r>
        <w:fldChar w:fldCharType="separate"/>
      </w:r>
      <w:r>
        <w:rPr>
          <w:rStyle w:val="32"/>
          <w:rFonts w:hAnsi="黑体"/>
        </w:rPr>
        <w:t>4</w:t>
      </w:r>
      <w:r>
        <w:rPr>
          <w:rStyle w:val="32"/>
        </w:rPr>
        <w:t xml:space="preserve"> 概述</w:t>
      </w:r>
      <w:r>
        <w:tab/>
      </w:r>
      <w:r>
        <w:fldChar w:fldCharType="begin"/>
      </w:r>
      <w:r>
        <w:instrText xml:space="preserve"> PAGEREF _Toc132100089 \h </w:instrText>
      </w:r>
      <w:r>
        <w:fldChar w:fldCharType="separate"/>
      </w:r>
      <w:r>
        <w:t>2</w:t>
      </w:r>
      <w:r>
        <w:fldChar w:fldCharType="end"/>
      </w:r>
      <w:r>
        <w:fldChar w:fldCharType="end"/>
      </w:r>
    </w:p>
    <w:p w14:paraId="3F9F2E6F">
      <w:pPr>
        <w:pStyle w:val="22"/>
        <w:spacing w:line="276" w:lineRule="auto"/>
        <w:rPr>
          <w:rFonts w:asciiTheme="minorHAnsi" w:hAnsiTheme="minorHAnsi" w:eastAsiaTheme="minorEastAsia" w:cstheme="minorBidi"/>
          <w:sz w:val="21"/>
          <w:szCs w:val="22"/>
        </w:rPr>
      </w:pPr>
      <w:r>
        <w:fldChar w:fldCharType="begin"/>
      </w:r>
      <w:r>
        <w:instrText xml:space="preserve"> HYPERLINK \l "_Toc132100090" </w:instrText>
      </w:r>
      <w:r>
        <w:fldChar w:fldCharType="separate"/>
      </w:r>
      <w:r>
        <w:rPr>
          <w:rStyle w:val="32"/>
          <w:rFonts w:hAnsi="黑体"/>
        </w:rPr>
        <w:t>5</w:t>
      </w:r>
      <w:r>
        <w:rPr>
          <w:rStyle w:val="32"/>
        </w:rPr>
        <w:t xml:space="preserve"> 线损测试类型和计量点设置</w:t>
      </w:r>
      <w:r>
        <w:tab/>
      </w:r>
      <w:r>
        <w:fldChar w:fldCharType="begin"/>
      </w:r>
      <w:r>
        <w:instrText xml:space="preserve"> PAGEREF _Toc132100090 \h </w:instrText>
      </w:r>
      <w:r>
        <w:fldChar w:fldCharType="separate"/>
      </w:r>
      <w:r>
        <w:t>3</w:t>
      </w:r>
      <w:r>
        <w:fldChar w:fldCharType="end"/>
      </w:r>
      <w:r>
        <w:fldChar w:fldCharType="end"/>
      </w:r>
    </w:p>
    <w:p w14:paraId="58C52174">
      <w:pPr>
        <w:pStyle w:val="24"/>
        <w:spacing w:line="276" w:lineRule="auto"/>
        <w:rPr>
          <w:rFonts w:asciiTheme="minorHAnsi" w:hAnsiTheme="minorHAnsi" w:eastAsiaTheme="minorEastAsia" w:cstheme="minorBidi"/>
          <w:sz w:val="21"/>
          <w:szCs w:val="22"/>
        </w:rPr>
      </w:pPr>
      <w:r>
        <w:fldChar w:fldCharType="begin"/>
      </w:r>
      <w:r>
        <w:instrText xml:space="preserve"> HYPERLINK \l "_Toc132100091" </w:instrText>
      </w:r>
      <w:r>
        <w:fldChar w:fldCharType="separate"/>
      </w:r>
      <w:r>
        <w:rPr>
          <w:rStyle w:val="32"/>
        </w:rPr>
        <w:t>5.1 测试类型</w:t>
      </w:r>
      <w:r>
        <w:tab/>
      </w:r>
      <w:r>
        <w:fldChar w:fldCharType="begin"/>
      </w:r>
      <w:r>
        <w:instrText xml:space="preserve"> PAGEREF _Toc132100091 \h </w:instrText>
      </w:r>
      <w:r>
        <w:fldChar w:fldCharType="separate"/>
      </w:r>
      <w:r>
        <w:t>3</w:t>
      </w:r>
      <w:r>
        <w:fldChar w:fldCharType="end"/>
      </w:r>
      <w:r>
        <w:fldChar w:fldCharType="end"/>
      </w:r>
    </w:p>
    <w:p w14:paraId="1DA143C6">
      <w:pPr>
        <w:pStyle w:val="24"/>
        <w:spacing w:line="276" w:lineRule="auto"/>
        <w:rPr>
          <w:rFonts w:asciiTheme="minorHAnsi" w:hAnsiTheme="minorHAnsi" w:eastAsiaTheme="minorEastAsia" w:cstheme="minorBidi"/>
          <w:sz w:val="21"/>
          <w:szCs w:val="22"/>
        </w:rPr>
      </w:pPr>
      <w:r>
        <w:fldChar w:fldCharType="begin"/>
      </w:r>
      <w:r>
        <w:instrText xml:space="preserve"> HYPERLINK \l "_Toc132100092" </w:instrText>
      </w:r>
      <w:r>
        <w:fldChar w:fldCharType="separate"/>
      </w:r>
      <w:r>
        <w:rPr>
          <w:rStyle w:val="32"/>
        </w:rPr>
        <w:t>5.2 计量点设置</w:t>
      </w:r>
      <w:r>
        <w:tab/>
      </w:r>
      <w:r>
        <w:fldChar w:fldCharType="begin"/>
      </w:r>
      <w:r>
        <w:instrText xml:space="preserve"> PAGEREF _Toc132100092 \h </w:instrText>
      </w:r>
      <w:r>
        <w:fldChar w:fldCharType="separate"/>
      </w:r>
      <w:r>
        <w:t>3</w:t>
      </w:r>
      <w:r>
        <w:fldChar w:fldCharType="end"/>
      </w:r>
      <w:r>
        <w:fldChar w:fldCharType="end"/>
      </w:r>
    </w:p>
    <w:p w14:paraId="4EB1B43B">
      <w:pPr>
        <w:pStyle w:val="22"/>
        <w:spacing w:line="276" w:lineRule="auto"/>
        <w:rPr>
          <w:rFonts w:asciiTheme="minorHAnsi" w:hAnsiTheme="minorHAnsi" w:eastAsiaTheme="minorEastAsia" w:cstheme="minorBidi"/>
          <w:sz w:val="21"/>
          <w:szCs w:val="22"/>
        </w:rPr>
      </w:pPr>
      <w:r>
        <w:fldChar w:fldCharType="begin"/>
      </w:r>
      <w:r>
        <w:instrText xml:space="preserve"> HYPERLINK \l "_Toc132100093" </w:instrText>
      </w:r>
      <w:r>
        <w:fldChar w:fldCharType="separate"/>
      </w:r>
      <w:r>
        <w:rPr>
          <w:rStyle w:val="32"/>
          <w:rFonts w:hAnsi="黑体"/>
        </w:rPr>
        <w:t>6</w:t>
      </w:r>
      <w:r>
        <w:rPr>
          <w:rStyle w:val="32"/>
        </w:rPr>
        <w:t xml:space="preserve"> 测试条件</w:t>
      </w:r>
      <w:r>
        <w:tab/>
      </w:r>
      <w:r>
        <w:fldChar w:fldCharType="begin"/>
      </w:r>
      <w:r>
        <w:instrText xml:space="preserve"> PAGEREF _Toc132100093 \h </w:instrText>
      </w:r>
      <w:r>
        <w:fldChar w:fldCharType="separate"/>
      </w:r>
      <w:r>
        <w:t>3</w:t>
      </w:r>
      <w:r>
        <w:fldChar w:fldCharType="end"/>
      </w:r>
      <w:r>
        <w:fldChar w:fldCharType="end"/>
      </w:r>
    </w:p>
    <w:p w14:paraId="125C2935">
      <w:pPr>
        <w:pStyle w:val="24"/>
        <w:spacing w:line="276" w:lineRule="auto"/>
        <w:rPr>
          <w:rFonts w:asciiTheme="minorHAnsi" w:hAnsiTheme="minorHAnsi" w:eastAsiaTheme="minorEastAsia" w:cstheme="minorBidi"/>
          <w:sz w:val="21"/>
          <w:szCs w:val="22"/>
        </w:rPr>
      </w:pPr>
      <w:r>
        <w:fldChar w:fldCharType="begin"/>
      </w:r>
      <w:r>
        <w:instrText xml:space="preserve"> HYPERLINK \l "_Toc132100094" </w:instrText>
      </w:r>
      <w:r>
        <w:fldChar w:fldCharType="separate"/>
      </w:r>
      <w:r>
        <w:rPr>
          <w:rStyle w:val="32"/>
        </w:rPr>
        <w:t>6.1 基本要求</w:t>
      </w:r>
      <w:r>
        <w:tab/>
      </w:r>
      <w:r>
        <w:fldChar w:fldCharType="begin"/>
      </w:r>
      <w:r>
        <w:instrText xml:space="preserve"> PAGEREF _Toc132100094 \h </w:instrText>
      </w:r>
      <w:r>
        <w:fldChar w:fldCharType="separate"/>
      </w:r>
      <w:r>
        <w:t>3</w:t>
      </w:r>
      <w:r>
        <w:fldChar w:fldCharType="end"/>
      </w:r>
      <w:r>
        <w:fldChar w:fldCharType="end"/>
      </w:r>
    </w:p>
    <w:p w14:paraId="74A58DB3">
      <w:pPr>
        <w:pStyle w:val="24"/>
        <w:spacing w:line="276" w:lineRule="auto"/>
        <w:rPr>
          <w:rFonts w:asciiTheme="minorHAnsi" w:hAnsiTheme="minorHAnsi" w:eastAsiaTheme="minorEastAsia" w:cstheme="minorBidi"/>
          <w:sz w:val="21"/>
          <w:szCs w:val="22"/>
        </w:rPr>
      </w:pPr>
      <w:r>
        <w:fldChar w:fldCharType="begin"/>
      </w:r>
      <w:r>
        <w:instrText xml:space="preserve"> HYPERLINK \l "_Toc132100095" </w:instrText>
      </w:r>
      <w:r>
        <w:fldChar w:fldCharType="separate"/>
      </w:r>
      <w:r>
        <w:rPr>
          <w:rStyle w:val="32"/>
        </w:rPr>
        <w:t>6.2 测试设备要求</w:t>
      </w:r>
      <w:r>
        <w:tab/>
      </w:r>
      <w:r>
        <w:fldChar w:fldCharType="begin"/>
      </w:r>
      <w:r>
        <w:instrText xml:space="preserve"> PAGEREF _Toc132100095 \h </w:instrText>
      </w:r>
      <w:r>
        <w:fldChar w:fldCharType="separate"/>
      </w:r>
      <w:r>
        <w:t>4</w:t>
      </w:r>
      <w:r>
        <w:fldChar w:fldCharType="end"/>
      </w:r>
      <w:r>
        <w:fldChar w:fldCharType="end"/>
      </w:r>
    </w:p>
    <w:p w14:paraId="0E39F5C1">
      <w:pPr>
        <w:pStyle w:val="22"/>
        <w:spacing w:line="276" w:lineRule="auto"/>
        <w:rPr>
          <w:rFonts w:asciiTheme="minorHAnsi" w:hAnsiTheme="minorHAnsi" w:eastAsiaTheme="minorEastAsia" w:cstheme="minorBidi"/>
          <w:sz w:val="21"/>
          <w:szCs w:val="22"/>
        </w:rPr>
      </w:pPr>
      <w:r>
        <w:fldChar w:fldCharType="begin"/>
      </w:r>
      <w:r>
        <w:instrText xml:space="preserve"> HYPERLINK \l "_Toc132100096" </w:instrText>
      </w:r>
      <w:r>
        <w:fldChar w:fldCharType="separate"/>
      </w:r>
      <w:r>
        <w:rPr>
          <w:rStyle w:val="32"/>
          <w:rFonts w:hAnsi="黑体"/>
        </w:rPr>
        <w:t>7</w:t>
      </w:r>
      <w:r>
        <w:rPr>
          <w:rStyle w:val="32"/>
        </w:rPr>
        <w:t xml:space="preserve"> 同期线损率计算方法</w:t>
      </w:r>
      <w:r>
        <w:tab/>
      </w:r>
      <w:r>
        <w:fldChar w:fldCharType="begin"/>
      </w:r>
      <w:r>
        <w:instrText xml:space="preserve"> PAGEREF _Toc132100096 \h </w:instrText>
      </w:r>
      <w:r>
        <w:fldChar w:fldCharType="separate"/>
      </w:r>
      <w:r>
        <w:t>5</w:t>
      </w:r>
      <w:r>
        <w:fldChar w:fldCharType="end"/>
      </w:r>
      <w:r>
        <w:fldChar w:fldCharType="end"/>
      </w:r>
    </w:p>
    <w:p w14:paraId="6095ABFA">
      <w:pPr>
        <w:pStyle w:val="24"/>
        <w:spacing w:line="276" w:lineRule="auto"/>
        <w:rPr>
          <w:rFonts w:asciiTheme="minorHAnsi" w:hAnsiTheme="minorHAnsi" w:eastAsiaTheme="minorEastAsia" w:cstheme="minorBidi"/>
          <w:sz w:val="21"/>
          <w:szCs w:val="22"/>
        </w:rPr>
      </w:pPr>
      <w:r>
        <w:fldChar w:fldCharType="begin"/>
      </w:r>
      <w:r>
        <w:instrText xml:space="preserve"> HYPERLINK \l "_Toc132100097" </w:instrText>
      </w:r>
      <w:r>
        <w:fldChar w:fldCharType="separate"/>
      </w:r>
      <w:r>
        <w:rPr>
          <w:rStyle w:val="32"/>
        </w:rPr>
        <w:t>7.1 分区测试线损率计算</w:t>
      </w:r>
      <w:r>
        <w:tab/>
      </w:r>
      <w:r>
        <w:fldChar w:fldCharType="begin"/>
      </w:r>
      <w:r>
        <w:instrText xml:space="preserve"> PAGEREF _Toc132100097 \h </w:instrText>
      </w:r>
      <w:r>
        <w:fldChar w:fldCharType="separate"/>
      </w:r>
      <w:r>
        <w:t>5</w:t>
      </w:r>
      <w:r>
        <w:fldChar w:fldCharType="end"/>
      </w:r>
      <w:r>
        <w:fldChar w:fldCharType="end"/>
      </w:r>
    </w:p>
    <w:p w14:paraId="68F37EDE">
      <w:pPr>
        <w:pStyle w:val="24"/>
        <w:spacing w:line="276" w:lineRule="auto"/>
        <w:rPr>
          <w:rFonts w:asciiTheme="minorHAnsi" w:hAnsiTheme="minorHAnsi" w:eastAsiaTheme="minorEastAsia" w:cstheme="minorBidi"/>
          <w:sz w:val="21"/>
          <w:szCs w:val="22"/>
        </w:rPr>
      </w:pPr>
      <w:r>
        <w:fldChar w:fldCharType="begin"/>
      </w:r>
      <w:r>
        <w:instrText xml:space="preserve"> HYPERLINK \l "_Toc132100098" </w:instrText>
      </w:r>
      <w:r>
        <w:fldChar w:fldCharType="separate"/>
      </w:r>
      <w:r>
        <w:rPr>
          <w:rStyle w:val="32"/>
        </w:rPr>
        <w:t>7.2 分压测试线损率计算</w:t>
      </w:r>
      <w:r>
        <w:tab/>
      </w:r>
      <w:r>
        <w:fldChar w:fldCharType="begin"/>
      </w:r>
      <w:r>
        <w:instrText xml:space="preserve"> PAGEREF _Toc132100098 \h </w:instrText>
      </w:r>
      <w:r>
        <w:fldChar w:fldCharType="separate"/>
      </w:r>
      <w:r>
        <w:t>5</w:t>
      </w:r>
      <w:r>
        <w:fldChar w:fldCharType="end"/>
      </w:r>
      <w:r>
        <w:fldChar w:fldCharType="end"/>
      </w:r>
    </w:p>
    <w:p w14:paraId="6056FDD0">
      <w:pPr>
        <w:pStyle w:val="24"/>
        <w:spacing w:line="276" w:lineRule="auto"/>
        <w:rPr>
          <w:rFonts w:asciiTheme="minorHAnsi" w:hAnsiTheme="minorHAnsi" w:eastAsiaTheme="minorEastAsia" w:cstheme="minorBidi"/>
          <w:sz w:val="21"/>
          <w:szCs w:val="22"/>
        </w:rPr>
      </w:pPr>
      <w:r>
        <w:fldChar w:fldCharType="begin"/>
      </w:r>
      <w:r>
        <w:instrText xml:space="preserve"> HYPERLINK \l "_Toc132100099" </w:instrText>
      </w:r>
      <w:r>
        <w:fldChar w:fldCharType="separate"/>
      </w:r>
      <w:r>
        <w:rPr>
          <w:rStyle w:val="32"/>
        </w:rPr>
        <w:t>7.3 分线测试线损率计算</w:t>
      </w:r>
      <w:r>
        <w:tab/>
      </w:r>
      <w:r>
        <w:fldChar w:fldCharType="begin"/>
      </w:r>
      <w:r>
        <w:instrText xml:space="preserve"> PAGEREF _Toc132100099 \h </w:instrText>
      </w:r>
      <w:r>
        <w:fldChar w:fldCharType="separate"/>
      </w:r>
      <w:r>
        <w:t>6</w:t>
      </w:r>
      <w:r>
        <w:fldChar w:fldCharType="end"/>
      </w:r>
      <w:r>
        <w:fldChar w:fldCharType="end"/>
      </w:r>
    </w:p>
    <w:p w14:paraId="0453F560">
      <w:pPr>
        <w:pStyle w:val="24"/>
        <w:spacing w:line="276" w:lineRule="auto"/>
        <w:rPr>
          <w:rFonts w:asciiTheme="minorHAnsi" w:hAnsiTheme="minorHAnsi" w:eastAsiaTheme="minorEastAsia" w:cstheme="minorBidi"/>
          <w:sz w:val="21"/>
          <w:szCs w:val="22"/>
        </w:rPr>
      </w:pPr>
      <w:r>
        <w:fldChar w:fldCharType="begin"/>
      </w:r>
      <w:r>
        <w:instrText xml:space="preserve"> HYPERLINK \l "_Toc132100100" </w:instrText>
      </w:r>
      <w:r>
        <w:fldChar w:fldCharType="separate"/>
      </w:r>
      <w:r>
        <w:rPr>
          <w:rStyle w:val="32"/>
        </w:rPr>
        <w:t>7.4 分台区测试线损计算</w:t>
      </w:r>
      <w:r>
        <w:tab/>
      </w:r>
      <w:r>
        <w:fldChar w:fldCharType="begin"/>
      </w:r>
      <w:r>
        <w:instrText xml:space="preserve"> PAGEREF _Toc132100100 \h </w:instrText>
      </w:r>
      <w:r>
        <w:fldChar w:fldCharType="separate"/>
      </w:r>
      <w:r>
        <w:t>9</w:t>
      </w:r>
      <w:r>
        <w:fldChar w:fldCharType="end"/>
      </w:r>
      <w:r>
        <w:fldChar w:fldCharType="end"/>
      </w:r>
    </w:p>
    <w:p w14:paraId="23F90B11">
      <w:pPr>
        <w:pStyle w:val="22"/>
        <w:spacing w:line="276" w:lineRule="auto"/>
        <w:rPr>
          <w:rFonts w:asciiTheme="minorHAnsi" w:hAnsiTheme="minorHAnsi" w:eastAsiaTheme="minorEastAsia" w:cstheme="minorBidi"/>
          <w:sz w:val="21"/>
          <w:szCs w:val="22"/>
        </w:rPr>
      </w:pPr>
      <w:r>
        <w:fldChar w:fldCharType="begin"/>
      </w:r>
      <w:r>
        <w:instrText xml:space="preserve"> HYPERLINK \l "_Toc132100101" </w:instrText>
      </w:r>
      <w:r>
        <w:fldChar w:fldCharType="separate"/>
      </w:r>
      <w:r>
        <w:rPr>
          <w:rStyle w:val="32"/>
          <w:rFonts w:hAnsi="黑体"/>
        </w:rPr>
        <w:t>8</w:t>
      </w:r>
      <w:r>
        <w:rPr>
          <w:rStyle w:val="32"/>
        </w:rPr>
        <w:t xml:space="preserve"> 测试结果的处理</w:t>
      </w:r>
      <w:r>
        <w:tab/>
      </w:r>
      <w:r>
        <w:fldChar w:fldCharType="begin"/>
      </w:r>
      <w:r>
        <w:instrText xml:space="preserve"> PAGEREF _Toc132100101 \h </w:instrText>
      </w:r>
      <w:r>
        <w:fldChar w:fldCharType="separate"/>
      </w:r>
      <w:r>
        <w:t>11</w:t>
      </w:r>
      <w:r>
        <w:fldChar w:fldCharType="end"/>
      </w:r>
      <w:r>
        <w:fldChar w:fldCharType="end"/>
      </w:r>
    </w:p>
    <w:p w14:paraId="242A3E94">
      <w:pPr>
        <w:pStyle w:val="24"/>
        <w:spacing w:line="276" w:lineRule="auto"/>
        <w:rPr>
          <w:rFonts w:asciiTheme="minorHAnsi" w:hAnsiTheme="minorHAnsi" w:eastAsiaTheme="minorEastAsia" w:cstheme="minorBidi"/>
          <w:sz w:val="21"/>
          <w:szCs w:val="22"/>
        </w:rPr>
      </w:pPr>
      <w:r>
        <w:fldChar w:fldCharType="begin"/>
      </w:r>
      <w:r>
        <w:instrText xml:space="preserve"> HYPERLINK \l "_Toc132100102" </w:instrText>
      </w:r>
      <w:r>
        <w:fldChar w:fldCharType="separate"/>
      </w:r>
      <w:r>
        <w:rPr>
          <w:rStyle w:val="32"/>
        </w:rPr>
        <w:t>8.1 基本要求</w:t>
      </w:r>
      <w:r>
        <w:tab/>
      </w:r>
      <w:r>
        <w:fldChar w:fldCharType="begin"/>
      </w:r>
      <w:r>
        <w:instrText xml:space="preserve"> PAGEREF _Toc132100102 \h </w:instrText>
      </w:r>
      <w:r>
        <w:fldChar w:fldCharType="separate"/>
      </w:r>
      <w:r>
        <w:t>11</w:t>
      </w:r>
      <w:r>
        <w:fldChar w:fldCharType="end"/>
      </w:r>
      <w:r>
        <w:fldChar w:fldCharType="end"/>
      </w:r>
    </w:p>
    <w:p w14:paraId="03AF7E79">
      <w:pPr>
        <w:pStyle w:val="24"/>
        <w:spacing w:line="276" w:lineRule="auto"/>
        <w:rPr>
          <w:rFonts w:asciiTheme="minorHAnsi" w:hAnsiTheme="minorHAnsi" w:eastAsiaTheme="minorEastAsia" w:cstheme="minorBidi"/>
          <w:sz w:val="21"/>
          <w:szCs w:val="22"/>
        </w:rPr>
      </w:pPr>
      <w:r>
        <w:fldChar w:fldCharType="begin"/>
      </w:r>
      <w:r>
        <w:instrText xml:space="preserve"> HYPERLINK \l "_Toc132100103" </w:instrText>
      </w:r>
      <w:r>
        <w:fldChar w:fldCharType="separate"/>
      </w:r>
      <w:r>
        <w:rPr>
          <w:rStyle w:val="32"/>
        </w:rPr>
        <w:t>8.2 测量不确定度评定法</w:t>
      </w:r>
      <w:r>
        <w:tab/>
      </w:r>
      <w:r>
        <w:fldChar w:fldCharType="begin"/>
      </w:r>
      <w:r>
        <w:instrText xml:space="preserve"> PAGEREF _Toc132100103 \h </w:instrText>
      </w:r>
      <w:r>
        <w:fldChar w:fldCharType="separate"/>
      </w:r>
      <w:r>
        <w:t>11</w:t>
      </w:r>
      <w:r>
        <w:fldChar w:fldCharType="end"/>
      </w:r>
      <w:r>
        <w:fldChar w:fldCharType="end"/>
      </w:r>
    </w:p>
    <w:p w14:paraId="7E939F1A">
      <w:pPr>
        <w:pStyle w:val="24"/>
        <w:spacing w:line="276" w:lineRule="auto"/>
        <w:rPr>
          <w:rFonts w:asciiTheme="minorHAnsi" w:hAnsiTheme="minorHAnsi" w:eastAsiaTheme="minorEastAsia" w:cstheme="minorBidi"/>
          <w:sz w:val="21"/>
          <w:szCs w:val="22"/>
        </w:rPr>
      </w:pPr>
      <w:r>
        <w:fldChar w:fldCharType="begin"/>
      </w:r>
      <w:r>
        <w:instrText xml:space="preserve"> HYPERLINK \l "_Toc132100104" </w:instrText>
      </w:r>
      <w:r>
        <w:fldChar w:fldCharType="separate"/>
      </w:r>
      <w:r>
        <w:rPr>
          <w:rStyle w:val="32"/>
        </w:rPr>
        <w:t>8.3 理论线损比较法</w:t>
      </w:r>
      <w:r>
        <w:tab/>
      </w:r>
      <w:r>
        <w:fldChar w:fldCharType="begin"/>
      </w:r>
      <w:r>
        <w:instrText xml:space="preserve"> PAGEREF _Toc132100104 \h </w:instrText>
      </w:r>
      <w:r>
        <w:fldChar w:fldCharType="separate"/>
      </w:r>
      <w:r>
        <w:t>11</w:t>
      </w:r>
      <w:r>
        <w:fldChar w:fldCharType="end"/>
      </w:r>
      <w:r>
        <w:fldChar w:fldCharType="end"/>
      </w:r>
    </w:p>
    <w:p w14:paraId="004B9CAA">
      <w:pPr>
        <w:pStyle w:val="22"/>
        <w:spacing w:line="276" w:lineRule="auto"/>
        <w:rPr>
          <w:rFonts w:asciiTheme="minorHAnsi" w:hAnsiTheme="minorHAnsi" w:eastAsiaTheme="minorEastAsia" w:cstheme="minorBidi"/>
          <w:sz w:val="21"/>
          <w:szCs w:val="22"/>
        </w:rPr>
      </w:pPr>
      <w:r>
        <w:fldChar w:fldCharType="begin"/>
      </w:r>
      <w:r>
        <w:instrText xml:space="preserve"> HYPERLINK \l "_Toc132100105" </w:instrText>
      </w:r>
      <w:r>
        <w:fldChar w:fldCharType="separate"/>
      </w:r>
      <w:r>
        <w:rPr>
          <w:rStyle w:val="32"/>
          <w:rFonts w:hAnsi="黑体"/>
        </w:rPr>
        <w:t>附录A</w:t>
      </w:r>
      <w:r>
        <w:rPr>
          <w:rStyle w:val="32"/>
          <w:rFonts w:hAnsi="黑体"/>
          <w:kern w:val="0"/>
        </w:rPr>
        <w:t xml:space="preserve"> 配电网拓扑识别方法</w:t>
      </w:r>
      <w:r>
        <w:tab/>
      </w:r>
      <w:r>
        <w:fldChar w:fldCharType="begin"/>
      </w:r>
      <w:r>
        <w:instrText xml:space="preserve"> PAGEREF _Toc132100105 \h </w:instrText>
      </w:r>
      <w:r>
        <w:fldChar w:fldCharType="separate"/>
      </w:r>
      <w:r>
        <w:t>12</w:t>
      </w:r>
      <w:r>
        <w:fldChar w:fldCharType="end"/>
      </w:r>
      <w:r>
        <w:fldChar w:fldCharType="end"/>
      </w:r>
    </w:p>
    <w:p w14:paraId="6FC5CEBE">
      <w:pPr>
        <w:pStyle w:val="22"/>
        <w:tabs>
          <w:tab w:val="left" w:pos="1680"/>
        </w:tabs>
        <w:spacing w:line="276" w:lineRule="auto"/>
        <w:rPr>
          <w:rFonts w:asciiTheme="minorHAnsi" w:hAnsiTheme="minorHAnsi" w:eastAsiaTheme="minorEastAsia" w:cstheme="minorBidi"/>
          <w:sz w:val="21"/>
          <w:szCs w:val="22"/>
        </w:rPr>
      </w:pPr>
      <w:r>
        <w:fldChar w:fldCharType="begin"/>
      </w:r>
      <w:r>
        <w:instrText xml:space="preserve"> HYPERLINK \l "_Toc132100106" </w:instrText>
      </w:r>
      <w:r>
        <w:fldChar w:fldCharType="separate"/>
      </w:r>
      <w:r>
        <w:rPr>
          <w:rStyle w:val="32"/>
          <w:rFonts w:hAnsi="黑体"/>
        </w:rPr>
        <w:t>附录B不确定度分量评定示例</w:t>
      </w:r>
      <w:r>
        <w:tab/>
      </w:r>
      <w:r>
        <w:fldChar w:fldCharType="begin"/>
      </w:r>
      <w:r>
        <w:instrText xml:space="preserve"> PAGEREF _Toc132100106 \h </w:instrText>
      </w:r>
      <w:r>
        <w:fldChar w:fldCharType="separate"/>
      </w:r>
      <w:r>
        <w:t>15</w:t>
      </w:r>
      <w:r>
        <w:fldChar w:fldCharType="end"/>
      </w:r>
      <w:r>
        <w:fldChar w:fldCharType="end"/>
      </w:r>
    </w:p>
    <w:p w14:paraId="12993694">
      <w:pPr>
        <w:snapToGrid/>
        <w:spacing w:line="240" w:lineRule="auto"/>
        <w:ind w:firstLine="0" w:firstLineChars="0"/>
        <w:jc w:val="center"/>
      </w:pPr>
      <w:r>
        <w:rPr>
          <w:sz w:val="21"/>
          <w:szCs w:val="21"/>
        </w:rPr>
        <w:fldChar w:fldCharType="end"/>
      </w:r>
    </w:p>
    <w:p w14:paraId="1ACF8EAE"/>
    <w:p w14:paraId="27A1648E">
      <w:bookmarkStart w:id="2" w:name="_Toc22696"/>
      <w:r>
        <w:br w:type="page"/>
      </w:r>
    </w:p>
    <w:p w14:paraId="759B7007">
      <w:pPr>
        <w:snapToGrid/>
        <w:ind w:firstLine="0" w:firstLineChars="0"/>
        <w:jc w:val="center"/>
        <w:outlineLvl w:val="0"/>
        <w:rPr>
          <w:rFonts w:ascii="黑体" w:eastAsia="黑体"/>
          <w:b/>
          <w:sz w:val="52"/>
          <w:szCs w:val="52"/>
        </w:rPr>
      </w:pPr>
      <w:bookmarkStart w:id="3" w:name="_Toc56776732"/>
      <w:bookmarkStart w:id="4" w:name="_Toc132100080"/>
      <w:bookmarkStart w:id="5" w:name="_Toc60736691"/>
      <w:bookmarkStart w:id="6" w:name="_Toc59189040"/>
      <w:r>
        <w:rPr>
          <w:rFonts w:hint="eastAsia" w:ascii="黑体" w:eastAsia="黑体"/>
          <w:b/>
          <w:sz w:val="52"/>
          <w:szCs w:val="52"/>
        </w:rPr>
        <w:t>引言</w:t>
      </w:r>
      <w:bookmarkEnd w:id="2"/>
      <w:bookmarkEnd w:id="3"/>
      <w:bookmarkEnd w:id="4"/>
      <w:bookmarkEnd w:id="5"/>
      <w:bookmarkEnd w:id="6"/>
    </w:p>
    <w:p w14:paraId="6725B194">
      <w:pPr>
        <w:adjustRightInd w:val="0"/>
        <w:snapToGrid/>
      </w:pPr>
      <w:r>
        <w:rPr>
          <w:rFonts w:hint="eastAsia"/>
        </w:rPr>
        <w:t>本</w:t>
      </w:r>
      <w:bookmarkStart w:id="7" w:name="_Hlk133334566"/>
      <w:r>
        <w:rPr>
          <w:rFonts w:hint="eastAsia"/>
        </w:rPr>
        <w:t>测试方法</w:t>
      </w:r>
      <w:bookmarkEnd w:id="7"/>
      <w:r>
        <w:rPr>
          <w:rFonts w:hint="eastAsia"/>
        </w:rPr>
        <w:t>参照国家计量技术规范</w:t>
      </w:r>
      <w:r>
        <w:t>JJF 1001</w:t>
      </w:r>
      <w:r>
        <w:rPr>
          <w:rFonts w:hint="eastAsia"/>
        </w:rPr>
        <w:t>－</w:t>
      </w:r>
      <w:r>
        <w:t>2011</w:t>
      </w:r>
      <w:r>
        <w:rPr>
          <w:rFonts w:hint="eastAsia"/>
        </w:rPr>
        <w:t>《通用计量术语及定义》、</w:t>
      </w:r>
      <w:r>
        <w:t>JJF 1059.1—2012《测量不确定度评定与表示》</w:t>
      </w:r>
      <w:r>
        <w:rPr>
          <w:rFonts w:hint="eastAsia"/>
        </w:rPr>
        <w:t>、</w:t>
      </w:r>
      <w:r>
        <w:t>JJF 1071-2010</w:t>
      </w:r>
      <w:r>
        <w:rPr>
          <w:rFonts w:hint="eastAsia"/>
        </w:rPr>
        <w:t>《</w:t>
      </w:r>
      <w:r>
        <w:t>国家计量校准规范编写规则</w:t>
      </w:r>
      <w:r>
        <w:rPr>
          <w:rFonts w:hint="eastAsia"/>
        </w:rPr>
        <w:t>》和</w:t>
      </w:r>
      <w:r>
        <w:t>GB/T 20001.4</w:t>
      </w:r>
      <w:r>
        <w:rPr>
          <w:rFonts w:hint="eastAsia"/>
        </w:rPr>
        <w:t>－</w:t>
      </w:r>
      <w:r>
        <w:t>2015</w:t>
      </w:r>
      <w:r>
        <w:rPr>
          <w:rFonts w:hint="eastAsia"/>
        </w:rPr>
        <w:t>《标准编写规则</w:t>
      </w:r>
      <w:r>
        <w:t xml:space="preserve"> </w:t>
      </w:r>
      <w:r>
        <w:rPr>
          <w:rFonts w:hint="eastAsia"/>
        </w:rPr>
        <w:t>第</w:t>
      </w:r>
      <w:r>
        <w:t>4</w:t>
      </w:r>
      <w:r>
        <w:rPr>
          <w:rFonts w:hint="eastAsia"/>
        </w:rPr>
        <w:t>部分</w:t>
      </w:r>
      <w:r>
        <w:t xml:space="preserve"> </w:t>
      </w:r>
      <w:r>
        <w:rPr>
          <w:rFonts w:hint="eastAsia"/>
        </w:rPr>
        <w:t>试验方法标准》编制。</w:t>
      </w:r>
    </w:p>
    <w:p w14:paraId="2C1A707B">
      <w:pPr>
        <w:adjustRightInd w:val="0"/>
        <w:snapToGrid/>
      </w:pPr>
      <w:r>
        <w:rPr>
          <w:rFonts w:hint="eastAsia"/>
        </w:rPr>
        <w:t>本测试方法为首次制定的国家计量技术规范。</w:t>
      </w:r>
    </w:p>
    <w:p w14:paraId="0D59DFE0"/>
    <w:p w14:paraId="4BEE48E6">
      <w:pPr>
        <w:sectPr>
          <w:headerReference r:id="rId12" w:type="default"/>
          <w:footerReference r:id="rId14" w:type="default"/>
          <w:headerReference r:id="rId13" w:type="even"/>
          <w:footerReference r:id="rId15" w:type="even"/>
          <w:pgSz w:w="11906" w:h="16838"/>
          <w:pgMar w:top="1985" w:right="1134" w:bottom="1418" w:left="1418" w:header="1191" w:footer="1304" w:gutter="0"/>
          <w:pgNumType w:fmt="upperRoman" w:start="1"/>
          <w:cols w:space="720" w:num="1"/>
          <w:docGrid w:type="linesAndChars" w:linePitch="326" w:charSpace="0"/>
        </w:sectPr>
      </w:pPr>
    </w:p>
    <w:p w14:paraId="0F6F860F">
      <w:pPr>
        <w:adjustRightInd w:val="0"/>
        <w:snapToGrid/>
        <w:ind w:firstLine="0" w:firstLineChars="0"/>
        <w:jc w:val="center"/>
      </w:pPr>
      <w:r>
        <w:rPr>
          <w:rFonts w:hint="eastAsia" w:eastAsia="黑体"/>
          <w:sz w:val="32"/>
          <w:szCs w:val="32"/>
        </w:rPr>
        <w:t>电动汽车非车载充电机电能计量数据加密技术规范</w:t>
      </w:r>
    </w:p>
    <w:p w14:paraId="4476B382">
      <w:pPr>
        <w:pStyle w:val="2"/>
        <w:spacing w:before="163" w:after="163"/>
      </w:pPr>
      <w:r>
        <w:rPr>
          <w:rFonts w:hint="eastAsia"/>
        </w:rPr>
        <w:t>范围</w:t>
      </w:r>
    </w:p>
    <w:p w14:paraId="5ED4CCF5">
      <w:r>
        <w:rPr>
          <w:rFonts w:hint="eastAsia"/>
        </w:rPr>
        <w:t>本规范规定了电动汽车非车载充电机（以下简称充电机）的电能计量数据及相关管理信息在产生、存储和传输过程中的数据加密、数字签名、安全传输及验证的技术要求。</w:t>
      </w:r>
    </w:p>
    <w:p w14:paraId="24C7BE27">
      <w:r>
        <w:rPr>
          <w:rFonts w:hint="eastAsia"/>
        </w:rPr>
        <w:t>本规范适用于充电机内部的电能计量模块、充电机、充电机运营平台、设备生产商平台及监管平台之间涉及电能计量数据和相关管理信息的安全交互过程。</w:t>
      </w:r>
    </w:p>
    <w:p w14:paraId="1DD6AE45">
      <w:pPr>
        <w:pStyle w:val="2"/>
        <w:spacing w:before="163" w:after="163"/>
      </w:pPr>
      <w:r>
        <w:rPr>
          <w:rFonts w:hint="eastAsia"/>
        </w:rPr>
        <w:t>规范性引用文件</w:t>
      </w:r>
    </w:p>
    <w:p w14:paraId="4FE84736">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1D00BAA9">
      <w:r>
        <w:rPr>
          <w:rFonts w:hint="eastAsia"/>
        </w:rPr>
        <w:t>GB/T 17215.321 交流电测量设备 特殊要求 第21部分：静止式有功电能表（1级和2级）</w:t>
      </w:r>
    </w:p>
    <w:p w14:paraId="4005A948">
      <w:r>
        <w:rPr>
          <w:rFonts w:hint="eastAsia"/>
        </w:rPr>
        <w:t>GB/T 29318 电动汽车非车载充电机电能计量</w:t>
      </w:r>
    </w:p>
    <w:p w14:paraId="343BF85D">
      <w:r>
        <w:rPr>
          <w:rFonts w:hint="eastAsia"/>
        </w:rPr>
        <w:t>T/CEC 102.4—2016 电动汽车充换电服务信息交换 第4部分：数据传输与安全</w:t>
      </w:r>
    </w:p>
    <w:p w14:paraId="7BB3CD04">
      <w:r>
        <w:rPr>
          <w:rFonts w:hint="eastAsia"/>
        </w:rPr>
        <w:t>GM/T 0003 SM2椭圆曲线公钥密码算法</w:t>
      </w:r>
    </w:p>
    <w:p w14:paraId="3BCD0C5D">
      <w:r>
        <w:rPr>
          <w:rFonts w:hint="eastAsia"/>
        </w:rPr>
        <w:t>GM/T 0004 SM4分组密码算法</w:t>
      </w:r>
    </w:p>
    <w:p w14:paraId="446013A4">
      <w:r>
        <w:rPr>
          <w:rFonts w:hint="eastAsia"/>
        </w:rPr>
        <w:t>GM/T 0005 SM3密码杂凑算法</w:t>
      </w:r>
    </w:p>
    <w:p w14:paraId="34DE5BD6">
      <w:r>
        <w:rPr>
          <w:rFonts w:hint="eastAsia"/>
        </w:rPr>
        <w:t>DL/T 645—2007 多功能电能表通信协议</w:t>
      </w:r>
    </w:p>
    <w:p w14:paraId="5175F1BD">
      <w:pPr>
        <w:pStyle w:val="2"/>
        <w:spacing w:before="163" w:after="163"/>
      </w:pPr>
      <w:r>
        <w:rPr>
          <w:rFonts w:hint="eastAsia"/>
        </w:rPr>
        <w:t>术语和定义</w:t>
      </w:r>
    </w:p>
    <w:p w14:paraId="34C7C710">
      <w:r>
        <w:rPr>
          <w:rFonts w:hint="eastAsia"/>
        </w:rPr>
        <w:t>下列术语和定义适用于本文件。</w:t>
      </w:r>
    </w:p>
    <w:p w14:paraId="6F2C7DC3">
      <w:pPr>
        <w:pStyle w:val="125"/>
        <w:spacing w:before="163"/>
      </w:pPr>
      <w:r>
        <w:rPr>
          <w:rFonts w:hint="eastAsia"/>
        </w:rPr>
        <w:t>3.1 电能计量模块 Metering Module</w:t>
      </w:r>
    </w:p>
    <w:p w14:paraId="18E19096">
      <w:r>
        <w:rPr>
          <w:rFonts w:hint="eastAsia"/>
        </w:rPr>
        <w:t>集成在充电机内部，具备独立电能计量、数据处理、数据存储、安全加密和通信功能的单元。其计量性能应满足 GB/T 29318 等相关标准要求。</w:t>
      </w:r>
    </w:p>
    <w:p w14:paraId="20748FF4">
      <w:pPr>
        <w:pStyle w:val="125"/>
        <w:spacing w:before="163"/>
      </w:pPr>
      <w:r>
        <w:rPr>
          <w:rFonts w:hint="eastAsia"/>
        </w:rPr>
        <w:t>3.2 交易计量数据 Transactional Metering Data</w:t>
      </w:r>
    </w:p>
    <w:p w14:paraId="32C345BA">
      <w:r>
        <w:rPr>
          <w:rFonts w:hint="eastAsia"/>
        </w:rPr>
        <w:t>由电能计量模块在充电服务过程中实时测量和生成的，用于贸易结算的电能量值、时间戳及相关的电能参数，如电压、电流、功率等。</w:t>
      </w:r>
    </w:p>
    <w:p w14:paraId="0856D25B">
      <w:pPr>
        <w:pStyle w:val="125"/>
        <w:spacing w:before="163"/>
      </w:pPr>
      <w:r>
        <w:rPr>
          <w:rFonts w:hint="eastAsia"/>
        </w:rPr>
        <w:t>3.3 生产与管理数据 Manufacturing and Management Data</w:t>
      </w:r>
    </w:p>
    <w:p w14:paraId="05D0A21D">
      <w:r>
        <w:rPr>
          <w:rFonts w:hint="eastAsia"/>
        </w:rPr>
        <w:t>围绕设备全生命周期产生的静态或配置类信息，包括但不限于设备（充电机、电能表）的出厂信息、技术参数、检定校准结果、机构信息及平台间的认证信息。</w:t>
      </w:r>
    </w:p>
    <w:p w14:paraId="2FE7D6BA">
      <w:pPr>
        <w:pStyle w:val="125"/>
        <w:spacing w:before="163"/>
      </w:pPr>
      <w:r>
        <w:rPr>
          <w:rFonts w:hint="eastAsia"/>
        </w:rPr>
        <w:t>3.4 数字签名 Digital Signature</w:t>
      </w:r>
    </w:p>
    <w:p w14:paraId="6C256D24">
      <w:r>
        <w:rPr>
          <w:rFonts w:hint="eastAsia"/>
        </w:rPr>
        <w:t>利用非对称密码算法（如SM2）对数据摘要进行加密，用于验证数据来源的真实性、数据的完整性以及行为的不可否认性。</w:t>
      </w:r>
    </w:p>
    <w:p w14:paraId="72D8FA88">
      <w:pPr>
        <w:pStyle w:val="125"/>
        <w:spacing w:before="163"/>
      </w:pPr>
      <w:r>
        <w:rPr>
          <w:rFonts w:hint="eastAsia"/>
        </w:rPr>
        <w:t>3.5 透传 Transparent Transmission</w:t>
      </w:r>
    </w:p>
    <w:p w14:paraId="0910285F">
      <w:r>
        <w:rPr>
          <w:rFonts w:hint="eastAsia"/>
        </w:rPr>
        <w:t>指中间节点（如充电机、运营平台）在不解密、不修改数据包内容的情况下，将从上一节点接收到的加密计量数据包作为整体，原封不动地转发至下一节点的过程。</w:t>
      </w:r>
    </w:p>
    <w:p w14:paraId="4BE98CD1">
      <w:pPr>
        <w:pStyle w:val="2"/>
        <w:spacing w:before="163" w:after="163"/>
      </w:pPr>
      <w:r>
        <w:rPr>
          <w:rFonts w:hint="eastAsia"/>
        </w:rPr>
        <w:t>总体框架</w:t>
      </w:r>
    </w:p>
    <w:p w14:paraId="59CC12A1">
      <w:pPr>
        <w:pStyle w:val="4"/>
      </w:pPr>
      <w:r>
        <w:rPr>
          <w:rFonts w:hint="eastAsia"/>
        </w:rPr>
        <w:t>数据安全模型</w:t>
      </w:r>
    </w:p>
    <w:p w14:paraId="04F38920">
      <w:r>
        <w:rPr>
          <w:rFonts w:hint="eastAsia"/>
        </w:rPr>
        <w:t>为保障电能计量数据的安全，应建立覆盖数据产生、传输到最终应用的全生命周期安全防护体系。该体系基于端到端的加密和认证机制，确保**交易计量数据**在离开电能计量模块时即被加密和签名，并在后续的传输过程中以“黑盒子”的形式进行透传，直至到达具有解密和验签权限的监管平台。</w:t>
      </w:r>
    </w:p>
    <w:p w14:paraId="0DE053EA">
      <w:r>
        <w:rPr>
          <w:rFonts w:hint="eastAsia"/>
        </w:rPr>
        <w:t>电能计量数据安全传输的典型路径如图1所示。电能计量模块作为安全边界的起点，对原始计量数据进行打包、加密和签名；充电机和运营平台作为中间节点，负责数据的安全透传；监管平台作为安全边界的终点，对数据进行解密和验证。</w:t>
      </w:r>
    </w:p>
    <w:p w14:paraId="6B220B75">
      <w:pPr>
        <w:pStyle w:val="82"/>
      </w:pPr>
      <w:r>
        <w:drawing>
          <wp:inline distT="0" distB="0" distL="0" distR="0">
            <wp:extent cx="3350260" cy="3124835"/>
            <wp:effectExtent l="0" t="0" r="2540" b="0"/>
            <wp:docPr id="1" name="图形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形 1"/>
                    <pic:cNvPicPr>
                      <a:picLocks noChangeAspect="1"/>
                    </pic:cNvPicPr>
                  </pic:nvPicPr>
                  <pic:blipFill>
                    <a:blip r:embed="rId21">
                      <a:extLst>
                        <a:ext uri="{96DAC541-7B7A-43D3-8B79-37D633B846F1}">
                          <asvg:svgBlip xmlns:asvg="http://schemas.microsoft.com/office/drawing/2016/SVG/main" r:embed="rId22"/>
                        </a:ext>
                      </a:extLst>
                    </a:blip>
                    <a:srcRect t="17560"/>
                    <a:stretch>
                      <a:fillRect/>
                    </a:stretch>
                  </pic:blipFill>
                  <pic:spPr>
                    <a:xfrm>
                      <a:off x="0" y="0"/>
                      <a:ext cx="3357048" cy="3131574"/>
                    </a:xfrm>
                    <a:prstGeom prst="rect">
                      <a:avLst/>
                    </a:prstGeom>
                  </pic:spPr>
                </pic:pic>
              </a:graphicData>
            </a:graphic>
          </wp:inline>
        </w:drawing>
      </w:r>
    </w:p>
    <w:p w14:paraId="141E74FA">
      <w:pPr>
        <w:pStyle w:val="13"/>
      </w:pPr>
      <w:r>
        <w:rPr>
          <w:rFonts w:hint="eastAsia"/>
        </w:rPr>
        <w:t>图1 电能计量数据传输路径示意图</w:t>
      </w:r>
    </w:p>
    <w:p w14:paraId="02A07E39">
      <w:pPr>
        <w:pStyle w:val="4"/>
      </w:pPr>
      <w:r>
        <w:rPr>
          <w:rFonts w:hint="eastAsia"/>
        </w:rPr>
        <w:t>数据传输场景与范围</w:t>
      </w:r>
    </w:p>
    <w:p w14:paraId="6216FAE4">
      <w:r>
        <w:rPr>
          <w:rFonts w:hint="eastAsia"/>
        </w:rPr>
        <w:t>本规范涵盖的数据传输场景根据数据类型和交互方，可分为以下几类：</w:t>
      </w:r>
    </w:p>
    <w:p w14:paraId="26A3E0C9">
      <w:r>
        <w:rPr>
          <w:rFonts w:hint="eastAsia"/>
        </w:rPr>
        <w:t>（1）交易计量数据传输：</w:t>
      </w:r>
    </w:p>
    <w:p w14:paraId="77F35555">
      <w:r>
        <w:rPr>
          <w:rFonts w:hint="eastAsia"/>
        </w:rPr>
        <w:t>电能计量模块 → 充电机：充电过程中的加密计量数据包传输。</w:t>
      </w:r>
    </w:p>
    <w:p w14:paraId="4D1DA7AC">
      <w:r>
        <w:rPr>
          <w:rFonts w:hint="eastAsia"/>
        </w:rPr>
        <w:t>电能计量模块 → ... → 监管平台 (经由充电机和运营平台透传)：核心的交易计量数据安全上报链路。</w:t>
      </w:r>
    </w:p>
    <w:p w14:paraId="05B64CD3">
      <w:r>
        <w:rPr>
          <w:rFonts w:hint="eastAsia"/>
        </w:rPr>
        <w:t>（2）生产与管理数据传输：</w:t>
      </w:r>
    </w:p>
    <w:p w14:paraId="3DADFE3D">
      <w:r>
        <w:rPr>
          <w:rFonts w:hint="eastAsia"/>
        </w:rPr>
        <w:t>充电机生产商平台 → 监管平台：充电机设备的出厂信息、型号备案、检定/校准数据等信息的上报。</w:t>
      </w:r>
    </w:p>
    <w:p w14:paraId="56FF3DDB">
      <w:r>
        <w:rPr>
          <w:rFonts w:hint="eastAsia"/>
        </w:rPr>
        <w:t>电能计量模块生产商平台 → 监管平台：电能计量模块的出厂信息、公钥/证书注册等信息的上报。</w:t>
      </w:r>
    </w:p>
    <w:p w14:paraId="18F4D047">
      <w:r>
        <w:rPr>
          <w:rFonts w:hint="eastAsia"/>
        </w:rPr>
        <w:t>充电机运营平台 → 监管平台：充电站信息、设备状态、充电订单等运营管理信息的上报。</w:t>
      </w:r>
    </w:p>
    <w:p w14:paraId="02E705D8">
      <w:pPr>
        <w:pStyle w:val="2"/>
        <w:spacing w:before="163" w:after="163"/>
      </w:pPr>
      <w:r>
        <w:rPr>
          <w:rFonts w:hint="eastAsia"/>
        </w:rPr>
        <w:t>技术要求</w:t>
      </w:r>
    </w:p>
    <w:p w14:paraId="73D7DEF8">
      <w:pPr>
        <w:pStyle w:val="4"/>
      </w:pPr>
      <w:r>
        <w:rPr>
          <w:rFonts w:hint="eastAsia"/>
        </w:rPr>
        <w:t>总体安全要求</w:t>
      </w:r>
    </w:p>
    <w:p w14:paraId="7F61C2F6">
      <w:pPr>
        <w:pStyle w:val="5"/>
      </w:pPr>
      <w:r>
        <w:rPr>
          <w:rFonts w:hint="eastAsia"/>
        </w:rPr>
        <w:t>密码算法</w:t>
      </w:r>
    </w:p>
    <w:p w14:paraId="3B91D671">
      <w:r>
        <w:rPr>
          <w:rFonts w:hint="eastAsia"/>
        </w:rPr>
        <w:t>所有场景下的加密、解密、摘要和签名等密码运算均应采用国家商用密码（国密）算法，包括但不限于：SM2椭圆曲线公钥密码算法、SM3密码杂凑算法、SM4分组密码算法。</w:t>
      </w:r>
    </w:p>
    <w:p w14:paraId="2D4B3F39">
      <w:pPr>
        <w:pStyle w:val="5"/>
      </w:pPr>
      <w:r>
        <w:rPr>
          <w:rFonts w:hint="eastAsia"/>
        </w:rPr>
        <w:t>数据完整性</w:t>
      </w:r>
    </w:p>
    <w:p w14:paraId="64DC91AD">
      <w:r>
        <w:rPr>
          <w:rFonts w:hint="eastAsia"/>
        </w:rPr>
        <w:t>应采用数字签名技术确保数据在传输过程中不被篡改。接收方应具备验证数字签名有效性的能力。</w:t>
      </w:r>
    </w:p>
    <w:p w14:paraId="30562590">
      <w:pPr>
        <w:pStyle w:val="5"/>
      </w:pPr>
      <w:r>
        <w:rPr>
          <w:rFonts w:hint="eastAsia"/>
        </w:rPr>
        <w:t>数据机密性</w:t>
      </w:r>
    </w:p>
    <w:p w14:paraId="7CCD97E0">
      <w:r>
        <w:rPr>
          <w:rFonts w:hint="eastAsia"/>
        </w:rPr>
        <w:t>应采用加密算法确保敏感数据在传输过程中的机密性，防止数据被非法窃取。</w:t>
      </w:r>
    </w:p>
    <w:p w14:paraId="70264781">
      <w:pPr>
        <w:pStyle w:val="5"/>
      </w:pPr>
      <w:r>
        <w:rPr>
          <w:rFonts w:hint="eastAsia"/>
        </w:rPr>
        <w:t>数据源真实性</w:t>
      </w:r>
    </w:p>
    <w:p w14:paraId="76485A24">
      <w:r>
        <w:rPr>
          <w:rFonts w:hint="eastAsia"/>
        </w:rPr>
        <w:t>应采用数字签名技术和身份认证机制确保数据来源的真实性，防止伪造数据。</w:t>
      </w:r>
    </w:p>
    <w:p w14:paraId="50B71B53">
      <w:pPr>
        <w:pStyle w:val="4"/>
      </w:pPr>
      <w:r>
        <w:rPr>
          <w:rFonts w:hint="eastAsia"/>
        </w:rPr>
        <w:t>电能计量模块要求</w:t>
      </w:r>
    </w:p>
    <w:p w14:paraId="28E9943C">
      <w:pPr>
        <w:pStyle w:val="5"/>
      </w:pPr>
      <w:r>
        <w:rPr>
          <w:rFonts w:hint="eastAsia"/>
        </w:rPr>
        <w:t>硬件安全</w:t>
      </w:r>
    </w:p>
    <w:p w14:paraId="1BA02FEC">
      <w:r>
        <w:rPr>
          <w:rFonts w:hint="eastAsia"/>
        </w:rPr>
        <w:t>电能计量模块应内置符合国家密码管理相关要求的安全芯片或安全单元，用于安全存储设备私钥、执行密码运算和保护关键程序代码。</w:t>
      </w:r>
    </w:p>
    <w:p w14:paraId="24DEB1E8">
      <w:pPr>
        <w:pStyle w:val="5"/>
      </w:pPr>
      <w:r>
        <w:rPr>
          <w:rFonts w:hint="eastAsia"/>
        </w:rPr>
        <w:t>唯一标识与密钥</w:t>
      </w:r>
    </w:p>
    <w:p w14:paraId="6B5B325F">
      <w:r>
        <w:rPr>
          <w:rFonts w:hint="eastAsia"/>
        </w:rPr>
        <w:t>每台电能计量模块应在生产阶段固化唯一的设备标识（MeterID），并预置由认证机构签发的唯一设备密钥对（公钥和私钥）及数字证书。</w:t>
      </w:r>
    </w:p>
    <w:p w14:paraId="493F51CA">
      <w:pPr>
        <w:pStyle w:val="5"/>
      </w:pPr>
      <w:r>
        <w:rPr>
          <w:rFonts w:hint="eastAsia"/>
        </w:rPr>
        <w:t>功能要求</w:t>
      </w:r>
    </w:p>
    <w:p w14:paraId="24A844D9">
      <w:r>
        <w:rPr>
          <w:rFonts w:hint="eastAsia"/>
        </w:rPr>
        <w:t>电能计量模块除应满足 GB/T 29318 的计量功能要求外，还应具备按 5.3 节要求对交易计量数据进行打包、SM4加密和SM2/SM3签名的能力。</w:t>
      </w:r>
    </w:p>
    <w:p w14:paraId="666606AE">
      <w:pPr>
        <w:pStyle w:val="4"/>
      </w:pPr>
      <w:r>
        <w:rPr>
          <w:rFonts w:hint="eastAsia"/>
        </w:rPr>
        <w:t>交易计量数据安全要求 (端到端加密)</w:t>
      </w:r>
    </w:p>
    <w:p w14:paraId="731B36D8">
      <w:r>
        <w:rPr>
          <w:rFonts w:hint="eastAsia"/>
        </w:rPr>
        <w:t>本节要求适用于 4.2 节中定义的“交易计量数据传输”场景。</w:t>
      </w:r>
    </w:p>
    <w:p w14:paraId="76140369">
      <w:pPr>
        <w:pStyle w:val="5"/>
      </w:pPr>
      <w:r>
        <w:rPr>
          <w:rFonts w:hint="eastAsia"/>
        </w:rPr>
        <w:t>数据打包格式</w:t>
      </w:r>
    </w:p>
    <w:p w14:paraId="78D3D897">
      <w:r>
        <w:rPr>
          <w:rFonts w:hint="eastAsia"/>
        </w:rPr>
        <w:t>电能计量模块上报的交易计量数据应封装为统一格式的数据包，其结构如表1所示。数据包中“加密数据”字段解密后的明文数据项编码见</w:t>
      </w:r>
      <w:r>
        <w:rPr>
          <w:rFonts w:hint="eastAsia"/>
          <w:b/>
          <w:bCs/>
        </w:rPr>
        <w:t>附录A</w:t>
      </w:r>
      <w:r>
        <w:rPr>
          <w:rFonts w:hint="eastAsia"/>
        </w:rPr>
        <w:t>。</w:t>
      </w:r>
    </w:p>
    <w:p w14:paraId="72290606">
      <w:pPr>
        <w:pStyle w:val="13"/>
      </w:pPr>
      <w:r>
        <w:rPr>
          <w:rFonts w:hint="eastAsia"/>
        </w:rPr>
        <w:t>表1 加密计量数据包结构</w:t>
      </w:r>
    </w:p>
    <w:tbl>
      <w:tblPr>
        <w:tblStyle w:val="2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38"/>
        <w:gridCol w:w="1596"/>
        <w:gridCol w:w="6236"/>
      </w:tblGrid>
      <w:tr w14:paraId="51D7A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pct"/>
          </w:tcPr>
          <w:p w14:paraId="31EDFE06">
            <w:pPr>
              <w:pStyle w:val="82"/>
              <w:rPr>
                <w:rFonts w:ascii="Calibri" w:hAnsi="Calibri"/>
              </w:rPr>
            </w:pPr>
            <w:r>
              <w:rPr>
                <w:rFonts w:hint="eastAsia" w:ascii="Calibri" w:hAnsi="Calibri"/>
              </w:rPr>
              <w:t>字段名称</w:t>
            </w:r>
          </w:p>
        </w:tc>
        <w:tc>
          <w:tcPr>
            <w:tcW w:w="834" w:type="pct"/>
          </w:tcPr>
          <w:p w14:paraId="1236F17E">
            <w:pPr>
              <w:pStyle w:val="82"/>
              <w:rPr>
                <w:rFonts w:ascii="Calibri" w:hAnsi="Calibri"/>
              </w:rPr>
            </w:pPr>
            <w:r>
              <w:rPr>
                <w:rFonts w:hint="eastAsia" w:ascii="Calibri" w:hAnsi="Calibri"/>
              </w:rPr>
              <w:t>长度（字节）</w:t>
            </w:r>
          </w:p>
        </w:tc>
        <w:tc>
          <w:tcPr>
            <w:tcW w:w="3258" w:type="pct"/>
          </w:tcPr>
          <w:p w14:paraId="60DB22EC">
            <w:pPr>
              <w:pStyle w:val="82"/>
              <w:rPr>
                <w:rFonts w:ascii="Calibri" w:hAnsi="Calibri"/>
              </w:rPr>
            </w:pPr>
            <w:r>
              <w:rPr>
                <w:rFonts w:hint="eastAsia" w:ascii="Calibri" w:hAnsi="Calibri"/>
              </w:rPr>
              <w:t>描述</w:t>
            </w:r>
          </w:p>
        </w:tc>
      </w:tr>
      <w:tr w14:paraId="087A04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pct"/>
          </w:tcPr>
          <w:p w14:paraId="58656A23">
            <w:pPr>
              <w:pStyle w:val="82"/>
              <w:rPr>
                <w:rFonts w:ascii="Times New Roman" w:hAnsi="Times New Roman"/>
              </w:rPr>
            </w:pPr>
            <w:r>
              <w:rPr>
                <w:rFonts w:ascii="Times New Roman" w:hAnsi="Times New Roman"/>
              </w:rPr>
              <w:t>Header</w:t>
            </w:r>
          </w:p>
        </w:tc>
        <w:tc>
          <w:tcPr>
            <w:tcW w:w="834" w:type="pct"/>
          </w:tcPr>
          <w:p w14:paraId="45A5B8AD">
            <w:pPr>
              <w:pStyle w:val="82"/>
              <w:rPr>
                <w:rFonts w:ascii="Times New Roman" w:hAnsi="Times New Roman"/>
              </w:rPr>
            </w:pPr>
            <w:r>
              <w:rPr>
                <w:rFonts w:ascii="Times New Roman" w:hAnsi="Times New Roman"/>
              </w:rPr>
              <w:t>2</w:t>
            </w:r>
          </w:p>
        </w:tc>
        <w:tc>
          <w:tcPr>
            <w:tcW w:w="3258" w:type="pct"/>
          </w:tcPr>
          <w:p w14:paraId="01AA9746">
            <w:pPr>
              <w:pStyle w:val="82"/>
              <w:rPr>
                <w:rFonts w:ascii="Times New Roman" w:hAnsi="Times New Roman"/>
              </w:rPr>
            </w:pPr>
            <w:r>
              <w:rPr>
                <w:rFonts w:ascii="Times New Roman" w:hAnsi="Times New Roman"/>
              </w:rPr>
              <w:t>固定帧头，推荐值为0xAA55</w:t>
            </w:r>
          </w:p>
        </w:tc>
      </w:tr>
      <w:tr w14:paraId="71955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pct"/>
          </w:tcPr>
          <w:p w14:paraId="4C0821E3">
            <w:pPr>
              <w:pStyle w:val="82"/>
              <w:rPr>
                <w:rFonts w:ascii="Times New Roman" w:hAnsi="Times New Roman"/>
              </w:rPr>
            </w:pPr>
            <w:r>
              <w:rPr>
                <w:rFonts w:ascii="Times New Roman" w:hAnsi="Times New Roman"/>
              </w:rPr>
              <w:t>MeterID</w:t>
            </w:r>
          </w:p>
        </w:tc>
        <w:tc>
          <w:tcPr>
            <w:tcW w:w="834" w:type="pct"/>
          </w:tcPr>
          <w:p w14:paraId="6F08E7F4">
            <w:pPr>
              <w:pStyle w:val="82"/>
              <w:rPr>
                <w:rFonts w:ascii="Times New Roman" w:hAnsi="Times New Roman"/>
              </w:rPr>
            </w:pPr>
            <w:r>
              <w:rPr>
                <w:rFonts w:ascii="Times New Roman" w:hAnsi="Times New Roman"/>
              </w:rPr>
              <w:t>8</w:t>
            </w:r>
          </w:p>
        </w:tc>
        <w:tc>
          <w:tcPr>
            <w:tcW w:w="3258" w:type="pct"/>
          </w:tcPr>
          <w:p w14:paraId="43B77F24">
            <w:pPr>
              <w:pStyle w:val="82"/>
              <w:rPr>
                <w:rFonts w:ascii="Times New Roman" w:hAnsi="Times New Roman"/>
              </w:rPr>
            </w:pPr>
            <w:r>
              <w:rPr>
                <w:rFonts w:ascii="Times New Roman" w:hAnsi="Times New Roman"/>
              </w:rPr>
              <w:t>电能表唯一标识（如资产编号）</w:t>
            </w:r>
          </w:p>
        </w:tc>
      </w:tr>
      <w:tr w14:paraId="26BD6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pct"/>
          </w:tcPr>
          <w:p w14:paraId="09985488">
            <w:pPr>
              <w:pStyle w:val="82"/>
              <w:rPr>
                <w:rFonts w:ascii="Times New Roman" w:hAnsi="Times New Roman"/>
              </w:rPr>
            </w:pPr>
            <w:r>
              <w:rPr>
                <w:rFonts w:ascii="Times New Roman" w:hAnsi="Times New Roman"/>
              </w:rPr>
              <w:t>Timestamp</w:t>
            </w:r>
          </w:p>
        </w:tc>
        <w:tc>
          <w:tcPr>
            <w:tcW w:w="834" w:type="pct"/>
          </w:tcPr>
          <w:p w14:paraId="33EF99C8">
            <w:pPr>
              <w:pStyle w:val="82"/>
              <w:rPr>
                <w:rFonts w:ascii="Times New Roman" w:hAnsi="Times New Roman"/>
              </w:rPr>
            </w:pPr>
            <w:r>
              <w:rPr>
                <w:rFonts w:ascii="Times New Roman" w:hAnsi="Times New Roman"/>
              </w:rPr>
              <w:t>6</w:t>
            </w:r>
          </w:p>
        </w:tc>
        <w:tc>
          <w:tcPr>
            <w:tcW w:w="3258" w:type="pct"/>
          </w:tcPr>
          <w:p w14:paraId="09EB663A">
            <w:pPr>
              <w:pStyle w:val="82"/>
              <w:rPr>
                <w:rFonts w:ascii="Times New Roman" w:hAnsi="Times New Roman"/>
              </w:rPr>
            </w:pPr>
            <w:r>
              <w:rPr>
                <w:rFonts w:ascii="Times New Roman" w:hAnsi="Times New Roman"/>
              </w:rPr>
              <w:t>数据采集时间戳（BCD码，格式为YYMMDDhhmmss）</w:t>
            </w:r>
          </w:p>
        </w:tc>
      </w:tr>
      <w:tr w14:paraId="34D398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pct"/>
          </w:tcPr>
          <w:p w14:paraId="4B258A72">
            <w:pPr>
              <w:pStyle w:val="82"/>
              <w:rPr>
                <w:rFonts w:ascii="Times New Roman" w:hAnsi="Times New Roman"/>
              </w:rPr>
            </w:pPr>
            <w:r>
              <w:rPr>
                <w:rFonts w:ascii="Times New Roman" w:hAnsi="Times New Roman"/>
              </w:rPr>
              <w:t>Signature</w:t>
            </w:r>
          </w:p>
        </w:tc>
        <w:tc>
          <w:tcPr>
            <w:tcW w:w="834" w:type="pct"/>
          </w:tcPr>
          <w:p w14:paraId="7A3D25A1">
            <w:pPr>
              <w:pStyle w:val="82"/>
              <w:rPr>
                <w:rFonts w:ascii="Times New Roman" w:hAnsi="Times New Roman"/>
              </w:rPr>
            </w:pPr>
            <w:r>
              <w:rPr>
                <w:rFonts w:ascii="Times New Roman" w:hAnsi="Times New Roman"/>
              </w:rPr>
              <w:t>64</w:t>
            </w:r>
          </w:p>
        </w:tc>
        <w:tc>
          <w:tcPr>
            <w:tcW w:w="3258" w:type="pct"/>
          </w:tcPr>
          <w:p w14:paraId="16D9991D">
            <w:pPr>
              <w:pStyle w:val="82"/>
              <w:rPr>
                <w:rFonts w:ascii="Times New Roman" w:hAnsi="Times New Roman"/>
              </w:rPr>
            </w:pPr>
            <w:r>
              <w:rPr>
                <w:rFonts w:ascii="Times New Roman" w:hAnsi="Times New Roman"/>
              </w:rPr>
              <w:t>对关键数据（如MeterID, Timestamp, EncryptData）的SM2数字签名</w:t>
            </w:r>
          </w:p>
        </w:tc>
      </w:tr>
      <w:tr w14:paraId="4FE16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pct"/>
          </w:tcPr>
          <w:p w14:paraId="348750C4">
            <w:pPr>
              <w:pStyle w:val="82"/>
              <w:rPr>
                <w:rFonts w:ascii="Times New Roman" w:hAnsi="Times New Roman"/>
              </w:rPr>
            </w:pPr>
            <w:r>
              <w:rPr>
                <w:rFonts w:ascii="Times New Roman" w:hAnsi="Times New Roman"/>
              </w:rPr>
              <w:t>EncryptData</w:t>
            </w:r>
          </w:p>
        </w:tc>
        <w:tc>
          <w:tcPr>
            <w:tcW w:w="834" w:type="pct"/>
          </w:tcPr>
          <w:p w14:paraId="463233EA">
            <w:pPr>
              <w:pStyle w:val="82"/>
              <w:rPr>
                <w:rFonts w:ascii="Times New Roman" w:hAnsi="Times New Roman"/>
              </w:rPr>
            </w:pPr>
            <w:r>
              <w:rPr>
                <w:rFonts w:ascii="Times New Roman" w:hAnsi="Times New Roman"/>
              </w:rPr>
              <w:t>M</w:t>
            </w:r>
          </w:p>
        </w:tc>
        <w:tc>
          <w:tcPr>
            <w:tcW w:w="3258" w:type="pct"/>
          </w:tcPr>
          <w:p w14:paraId="0EFE6124">
            <w:pPr>
              <w:pStyle w:val="82"/>
              <w:rPr>
                <w:rFonts w:ascii="Times New Roman" w:hAnsi="Times New Roman"/>
              </w:rPr>
            </w:pPr>
            <w:r>
              <w:rPr>
                <w:rFonts w:ascii="Times New Roman" w:hAnsi="Times New Roman"/>
              </w:rPr>
              <w:t>使用SM4加密的原始计量数据内容</w:t>
            </w:r>
          </w:p>
        </w:tc>
      </w:tr>
      <w:tr w14:paraId="03F06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pct"/>
          </w:tcPr>
          <w:p w14:paraId="1439E7A3">
            <w:pPr>
              <w:pStyle w:val="82"/>
              <w:rPr>
                <w:rFonts w:ascii="Times New Roman" w:hAnsi="Times New Roman"/>
              </w:rPr>
            </w:pPr>
            <w:r>
              <w:rPr>
                <w:rFonts w:ascii="Times New Roman" w:hAnsi="Times New Roman"/>
              </w:rPr>
              <w:t>CRC</w:t>
            </w:r>
          </w:p>
        </w:tc>
        <w:tc>
          <w:tcPr>
            <w:tcW w:w="834" w:type="pct"/>
          </w:tcPr>
          <w:p w14:paraId="0C781FA0">
            <w:pPr>
              <w:pStyle w:val="82"/>
              <w:rPr>
                <w:rFonts w:ascii="Times New Roman" w:hAnsi="Times New Roman"/>
              </w:rPr>
            </w:pPr>
            <w:r>
              <w:rPr>
                <w:rFonts w:ascii="Times New Roman" w:hAnsi="Times New Roman"/>
              </w:rPr>
              <w:t>2</w:t>
            </w:r>
          </w:p>
        </w:tc>
        <w:tc>
          <w:tcPr>
            <w:tcW w:w="3258" w:type="pct"/>
          </w:tcPr>
          <w:p w14:paraId="7761F492">
            <w:pPr>
              <w:pStyle w:val="82"/>
              <w:rPr>
                <w:rFonts w:ascii="Times New Roman" w:hAnsi="Times New Roman"/>
              </w:rPr>
            </w:pPr>
            <w:r>
              <w:rPr>
                <w:rFonts w:ascii="Times New Roman" w:hAnsi="Times New Roman"/>
              </w:rPr>
              <w:t>对整个数据包（除CRC字段外）的循环冗余校验码</w:t>
            </w:r>
          </w:p>
        </w:tc>
      </w:tr>
    </w:tbl>
    <w:p w14:paraId="064907F3">
      <w:pPr>
        <w:ind w:firstLine="0" w:firstLineChars="0"/>
      </w:pPr>
    </w:p>
    <w:p w14:paraId="307D2727">
      <w:pPr>
        <w:pStyle w:val="5"/>
      </w:pPr>
      <w:r>
        <w:rPr>
          <w:rFonts w:hint="eastAsia"/>
        </w:rPr>
        <w:t>安全传输流程</w:t>
      </w:r>
    </w:p>
    <w:p w14:paraId="4C53D750">
      <w:r>
        <w:rPr>
          <w:rFonts w:hint="eastAsia"/>
        </w:rPr>
        <w:t>一个完整的端到端加密与透传流程示例见</w:t>
      </w:r>
      <w:r>
        <w:rPr>
          <w:rFonts w:hint="eastAsia"/>
          <w:b/>
          <w:bCs/>
        </w:rPr>
        <w:t>附录B</w:t>
      </w:r>
      <w:r>
        <w:rPr>
          <w:rFonts w:hint="eastAsia"/>
        </w:rPr>
        <w:t>和</w:t>
      </w:r>
      <w:r>
        <w:rPr>
          <w:rFonts w:hint="eastAsia"/>
          <w:b/>
          <w:bCs/>
        </w:rPr>
        <w:t>附录C</w:t>
      </w:r>
      <w:r>
        <w:rPr>
          <w:rFonts w:hint="eastAsia"/>
        </w:rPr>
        <w:t>。</w:t>
      </w:r>
    </w:p>
    <w:p w14:paraId="58526BCA">
      <w:pPr>
        <w:pStyle w:val="6"/>
      </w:pPr>
      <w:r>
        <w:rPr>
          <w:rFonts w:hint="eastAsia"/>
        </w:rPr>
        <w:t>电能计量模块至充电机</w:t>
      </w:r>
    </w:p>
    <w:p w14:paraId="4777F13A">
      <w:r>
        <w:rPr>
          <w:rFonts w:hint="eastAsia"/>
        </w:rPr>
        <w:t>应通过RS-485、CAN等可靠的内部通信接口进行数据交换。电能计量模块应按需发送按 5.3.1 节规定格式封装的加密计量数据包。</w:t>
      </w:r>
    </w:p>
    <w:p w14:paraId="468C3A2F">
      <w:pPr>
        <w:pStyle w:val="6"/>
      </w:pPr>
      <w:r>
        <w:rPr>
          <w:rFonts w:hint="eastAsia"/>
        </w:rPr>
        <w:t>充电机透传</w:t>
      </w:r>
    </w:p>
    <w:p w14:paraId="5F6E1DC1">
      <w:r>
        <w:rPr>
          <w:rFonts w:hint="eastAsia"/>
        </w:rPr>
        <w:t>充电机应将从电能计量模块接收到的完整加密计量数据包作为应用层数据载荷，进行</w:t>
      </w:r>
      <w:r>
        <w:rPr>
          <w:rFonts w:hint="eastAsia"/>
          <w:b/>
          <w:bCs/>
        </w:rPr>
        <w:t>透传</w:t>
      </w:r>
      <w:r>
        <w:rPr>
          <w:rFonts w:hint="eastAsia"/>
        </w:rPr>
        <w:t>。充电机不应对该数据包进行任何解密、修改或解析。</w:t>
      </w:r>
    </w:p>
    <w:p w14:paraId="255C0E9E">
      <w:pPr>
        <w:pStyle w:val="6"/>
      </w:pPr>
      <w:r>
        <w:rPr>
          <w:rFonts w:hint="eastAsia"/>
        </w:rPr>
        <w:t>运营平台透传</w:t>
      </w:r>
    </w:p>
    <w:p w14:paraId="1E784D3B">
      <w:r>
        <w:rPr>
          <w:rFonts w:hint="eastAsia"/>
        </w:rPr>
        <w:t>运营平台应将从充电桩接收到的完整加密计量数据包进行</w:t>
      </w:r>
      <w:r>
        <w:rPr>
          <w:rFonts w:hint="eastAsia"/>
          <w:b/>
          <w:bCs/>
        </w:rPr>
        <w:t>透传</w:t>
      </w:r>
      <w:r>
        <w:rPr>
          <w:rFonts w:hint="eastAsia"/>
        </w:rPr>
        <w:t>至监管平台。</w:t>
      </w:r>
    </w:p>
    <w:p w14:paraId="42B80EFA">
      <w:pPr>
        <w:pStyle w:val="6"/>
      </w:pPr>
      <w:r>
        <w:rPr>
          <w:rFonts w:hint="eastAsia"/>
        </w:rPr>
        <w:t>监管平台处理</w:t>
      </w:r>
    </w:p>
    <w:p w14:paraId="08379B4A">
      <w:r>
        <w:rPr>
          <w:rFonts w:hint="eastAsia"/>
        </w:rPr>
        <w:t>监管平台接收到数据后，应使用备案的电能计量模块公钥进行验签，验签通过后再使用约定的对称密钥进行解密。</w:t>
      </w:r>
    </w:p>
    <w:p w14:paraId="584D2AF7">
      <w:pPr>
        <w:pStyle w:val="4"/>
      </w:pPr>
      <w:r>
        <w:rPr>
          <w:rFonts w:hint="eastAsia"/>
        </w:rPr>
        <w:t>生产与管理数据安全要求 (平台间传输)</w:t>
      </w:r>
    </w:p>
    <w:p w14:paraId="237631B4">
      <w:r>
        <w:rPr>
          <w:rFonts w:hint="eastAsia"/>
        </w:rPr>
        <w:t>本节要求适用于 4.2 节中定义的“生产与管理数据传输”场景，包括充电机生产商平台、电能表生产商平台、运营平台与监管平台之间的信息交换。</w:t>
      </w:r>
    </w:p>
    <w:p w14:paraId="61A6007E">
      <w:pPr>
        <w:pStyle w:val="5"/>
      </w:pPr>
      <w:r>
        <w:rPr>
          <w:rFonts w:hint="eastAsia"/>
        </w:rPr>
        <w:t>总体要求</w:t>
      </w:r>
    </w:p>
    <w:p w14:paraId="085D966B">
      <w:r>
        <w:rPr>
          <w:rFonts w:hint="eastAsia"/>
        </w:rPr>
        <w:t>此类数据传输的通信协议、接口调用方式、消息封装、安全认证及批量传输等总体要求，应遵循 T/CEC 102.4—2016 第4章“数据传输体系”和第5章“平台认证要求”的规定。</w:t>
      </w:r>
    </w:p>
    <w:p w14:paraId="59BC644B">
      <w:pPr>
        <w:pStyle w:val="5"/>
      </w:pPr>
      <w:r>
        <w:rPr>
          <w:rFonts w:hint="eastAsia"/>
        </w:rPr>
        <w:t>安全细化要求</w:t>
      </w:r>
    </w:p>
    <w:p w14:paraId="09603A0D">
      <w:r>
        <w:rPr>
          <w:rFonts w:hint="eastAsia"/>
        </w:rPr>
        <w:t>在遵循 T/CEC 102.4 的基础上，应满足以下细化要求：</w:t>
      </w:r>
    </w:p>
    <w:p w14:paraId="4B9FBA85">
      <w:pPr>
        <w:numPr>
          <w:ilvl w:val="0"/>
          <w:numId w:val="8"/>
        </w:numPr>
        <w:ind w:firstLineChars="0"/>
      </w:pPr>
      <w:r>
        <w:rPr>
          <w:rFonts w:hint="eastAsia"/>
          <w:b/>
          <w:bCs/>
        </w:rPr>
        <w:t>传输层安全：</w:t>
      </w:r>
      <w:r>
        <w:rPr>
          <w:rFonts w:hint="eastAsia"/>
        </w:rPr>
        <w:t>所有接口均应使用基于国密算法的传输层密码协议（如TLCP协议）或HTTPS协议进行传输，确保链路安全。</w:t>
      </w:r>
    </w:p>
    <w:p w14:paraId="49C36A31">
      <w:pPr>
        <w:numPr>
          <w:ilvl w:val="0"/>
          <w:numId w:val="8"/>
        </w:numPr>
        <w:ind w:firstLineChars="0"/>
      </w:pPr>
      <w:r>
        <w:rPr>
          <w:rFonts w:hint="eastAsia"/>
          <w:b/>
          <w:bCs/>
        </w:rPr>
        <w:t>身份认证：</w:t>
      </w:r>
      <w:r>
        <w:rPr>
          <w:rFonts w:hint="eastAsia"/>
        </w:rPr>
        <w:t>平台间的认证应采用 T/CEC 102.4 中规定的 Token 机制。</w:t>
      </w:r>
    </w:p>
    <w:p w14:paraId="68CDA686">
      <w:pPr>
        <w:numPr>
          <w:ilvl w:val="0"/>
          <w:numId w:val="8"/>
        </w:numPr>
        <w:ind w:firstLineChars="0"/>
      </w:pPr>
      <w:r>
        <w:rPr>
          <w:rFonts w:hint="eastAsia"/>
          <w:b/>
          <w:bCs/>
        </w:rPr>
        <w:t>消息签名：</w:t>
      </w:r>
      <w:r>
        <w:rPr>
          <w:rFonts w:hint="eastAsia"/>
        </w:rPr>
        <w:t>应采用基于国密SM3算法的HMAC机制（HMAC-SM3）或SM2数字签名，对 T/CEC 102.4 规定的消息主体进行签名，以替代HMAC-MD5。</w:t>
      </w:r>
    </w:p>
    <w:p w14:paraId="347A62E2">
      <w:pPr>
        <w:numPr>
          <w:ilvl w:val="0"/>
          <w:numId w:val="8"/>
        </w:numPr>
        <w:ind w:firstLineChars="0"/>
      </w:pPr>
      <w:r>
        <w:rPr>
          <w:rFonts w:hint="eastAsia"/>
          <w:b/>
          <w:bCs/>
        </w:rPr>
        <w:t>数据加密：</w:t>
      </w:r>
      <w:r>
        <w:rPr>
          <w:rFonts w:hint="eastAsia"/>
        </w:rPr>
        <w:t>对消息主体中涉及敏感信息（如密钥、商业秘密等）的“Data”字段，应使用国密SM4算法进行加密。</w:t>
      </w:r>
    </w:p>
    <w:p w14:paraId="710F84E0">
      <w:pPr>
        <w:pStyle w:val="5"/>
      </w:pPr>
      <w:r>
        <w:rPr>
          <w:rFonts w:hint="eastAsia"/>
        </w:rPr>
        <w:t>接口定义</w:t>
      </w:r>
    </w:p>
    <w:p w14:paraId="563049C6">
      <w:r>
        <w:rPr>
          <w:rFonts w:hint="eastAsia"/>
        </w:rPr>
        <w:t>本规范不对生产与管理数据的具体交换接口（如设备信息上报、检定任务下发等）的内容、格式和字段进行详细定义。各方在实现具体业务接口时，其安全防护机制必须遵循本节（5.4）的规定。</w:t>
      </w:r>
    </w:p>
    <w:p w14:paraId="158B0A52">
      <w:pPr>
        <w:pStyle w:val="4"/>
      </w:pPr>
      <w:r>
        <w:rPr>
          <w:rFonts w:hint="eastAsia"/>
        </w:rPr>
        <w:t>密钥管理</w:t>
      </w:r>
    </w:p>
    <w:p w14:paraId="1217BA04">
      <w:r>
        <w:rPr>
          <w:rFonts w:hint="eastAsia"/>
        </w:rPr>
        <w:t>计量数据加密所涉及的密钥管理体系应遵循安全、规范的原则。</w:t>
      </w:r>
    </w:p>
    <w:p w14:paraId="3347F735">
      <w:pPr>
        <w:pStyle w:val="5"/>
      </w:pPr>
      <w:r>
        <w:rPr>
          <w:rFonts w:hint="eastAsia"/>
        </w:rPr>
        <w:t>密钥体系</w:t>
      </w:r>
    </w:p>
    <w:p w14:paraId="6AE3783B">
      <w:pPr>
        <w:numPr>
          <w:ilvl w:val="0"/>
          <w:numId w:val="9"/>
        </w:numPr>
        <w:ind w:firstLineChars="0"/>
      </w:pPr>
      <w:r>
        <w:rPr>
          <w:rFonts w:hint="eastAsia"/>
          <w:b/>
          <w:bCs/>
        </w:rPr>
        <w:t>设备密钥对：</w:t>
      </w:r>
      <w:r>
        <w:rPr>
          <w:rFonts w:hint="eastAsia"/>
        </w:rPr>
        <w:t>电能计量模块内置的SM2非对称密钥对，私钥不出安全单元，公钥及证书由权威机构统一签发和管理。</w:t>
      </w:r>
    </w:p>
    <w:p w14:paraId="33885051">
      <w:pPr>
        <w:numPr>
          <w:ilvl w:val="0"/>
          <w:numId w:val="9"/>
        </w:numPr>
        <w:ind w:firstLineChars="0"/>
      </w:pPr>
      <w:r>
        <w:rPr>
          <w:rFonts w:hint="eastAsia"/>
          <w:b/>
          <w:bCs/>
        </w:rPr>
        <w:t>对称密钥：</w:t>
      </w:r>
      <w:r>
        <w:rPr>
          <w:rFonts w:hint="eastAsia"/>
        </w:rPr>
        <w:t>用于交易计量数据SM4加密的密钥，可通过SM2密钥协商机制在电能计量模块和监管平台之间安全建立，或采用一机一密的方式进行预置。</w:t>
      </w:r>
    </w:p>
    <w:p w14:paraId="0F7E0806">
      <w:pPr>
        <w:numPr>
          <w:ilvl w:val="0"/>
          <w:numId w:val="9"/>
        </w:numPr>
        <w:ind w:firstLineChars="0"/>
      </w:pPr>
      <w:r>
        <w:rPr>
          <w:rFonts w:hint="eastAsia"/>
          <w:b/>
          <w:bCs/>
        </w:rPr>
        <w:t>平台密钥：</w:t>
      </w:r>
      <w:r>
        <w:rPr>
          <w:rFonts w:hint="eastAsia"/>
        </w:rPr>
        <w:t>运营平台、生产商平台与监管平台间用于认证和签名的密钥，其管理和使用应遵循 T/CEC 102.4—2016 第6章的相关规定，并采用国密算法。</w:t>
      </w:r>
    </w:p>
    <w:p w14:paraId="4BA72891">
      <w:pPr>
        <w:pStyle w:val="5"/>
      </w:pPr>
      <w:r>
        <w:rPr>
          <w:rFonts w:hint="eastAsia"/>
        </w:rPr>
        <w:t>密钥生命周期管理</w:t>
      </w:r>
    </w:p>
    <w:p w14:paraId="7106846D">
      <w:r>
        <w:rPr>
          <w:rFonts w:hint="eastAsia"/>
        </w:rPr>
        <w:t>密钥的生成、分发、存储、使用、更新和销毁等全生命周期过程，应符合国家密码管理的相关规定，确保密钥安全。</w:t>
      </w:r>
    </w:p>
    <w:p w14:paraId="62730C93">
      <w:pPr>
        <w:sectPr>
          <w:headerReference r:id="rId16" w:type="default"/>
          <w:footerReference r:id="rId18" w:type="default"/>
          <w:headerReference r:id="rId17" w:type="even"/>
          <w:footerReference r:id="rId19" w:type="even"/>
          <w:pgSz w:w="11906" w:h="16838"/>
          <w:pgMar w:top="1985" w:right="1134" w:bottom="1418" w:left="1418" w:header="1247" w:footer="1304" w:gutter="0"/>
          <w:pgNumType w:start="1"/>
          <w:cols w:space="720" w:num="1"/>
          <w:docGrid w:type="linesAndChars" w:linePitch="326" w:charSpace="0"/>
        </w:sectPr>
      </w:pPr>
    </w:p>
    <w:p w14:paraId="221336EC">
      <w:pPr>
        <w:pStyle w:val="2"/>
        <w:numPr>
          <w:ilvl w:val="0"/>
          <w:numId w:val="0"/>
        </w:numPr>
        <w:spacing w:before="163" w:after="163"/>
      </w:pPr>
      <w:r>
        <w:rPr>
          <w:rFonts w:hint="eastAsia"/>
        </w:rPr>
        <w:t>附录A</w:t>
      </w:r>
      <w:r>
        <w:rPr>
          <w:rFonts w:hint="eastAsia"/>
        </w:rPr>
        <w:br w:type="textWrapping"/>
      </w:r>
      <w:r>
        <w:rPr>
          <w:rFonts w:hint="eastAsia"/>
        </w:rPr>
        <w:t>(规范性附录)</w:t>
      </w:r>
      <w:r>
        <w:rPr>
          <w:rFonts w:hint="eastAsia"/>
        </w:rPr>
        <w:br w:type="textWrapping"/>
      </w:r>
      <w:r>
        <w:rPr>
          <w:rFonts w:hint="eastAsia"/>
        </w:rPr>
        <w:t>交易计量数据明文数据项编码</w:t>
      </w:r>
    </w:p>
    <w:p w14:paraId="562EAFCF">
      <w:r>
        <w:rPr>
          <w:rFonts w:hint="eastAsia"/>
        </w:rPr>
        <w:t>本附录规定了表1中“加密数据(EncryptedData)”字段经SM4解密后，其明文内容应包含的数据项及其编码格式，以保障不同厂商设备数据的互操作性。格式遵循DL/T 645—2007的数据标识编码规则。</w:t>
      </w:r>
    </w:p>
    <w:p w14:paraId="581B7B41">
      <w:pPr>
        <w:pStyle w:val="13"/>
      </w:pPr>
      <w:r>
        <w:rPr>
          <w:rFonts w:hint="eastAsia"/>
        </w:rPr>
        <w:t>表 A.1 充电结算关键数据项</w:t>
      </w:r>
    </w:p>
    <w:tbl>
      <w:tblPr>
        <w:tblStyle w:val="27"/>
        <w:tblW w:w="0" w:type="auto"/>
        <w:tblInd w:w="0" w:type="dxa"/>
        <w:tblLayout w:type="autofit"/>
        <w:tblCellMar>
          <w:top w:w="15" w:type="dxa"/>
          <w:left w:w="15" w:type="dxa"/>
          <w:bottom w:w="15" w:type="dxa"/>
          <w:right w:w="15" w:type="dxa"/>
        </w:tblCellMar>
      </w:tblPr>
      <w:tblGrid>
        <w:gridCol w:w="497"/>
        <w:gridCol w:w="497"/>
        <w:gridCol w:w="497"/>
        <w:gridCol w:w="497"/>
        <w:gridCol w:w="2224"/>
        <w:gridCol w:w="1028"/>
        <w:gridCol w:w="2093"/>
        <w:gridCol w:w="2261"/>
      </w:tblGrid>
      <w:tr w14:paraId="6D539E4B">
        <w:tblPrEx>
          <w:tblCellMar>
            <w:top w:w="15" w:type="dxa"/>
            <w:left w:w="15" w:type="dxa"/>
            <w:bottom w:w="15" w:type="dxa"/>
            <w:right w:w="15" w:type="dxa"/>
          </w:tblCellMar>
        </w:tblPrEx>
        <w:trPr>
          <w:tblHeader/>
        </w:trPr>
        <w:tc>
          <w:tcPr>
            <w:tcW w:w="0" w:type="auto"/>
            <w:gridSpan w:val="4"/>
            <w:tcBorders>
              <w:top w:val="single" w:color="000000" w:sz="6" w:space="0"/>
              <w:left w:val="single" w:color="000000" w:sz="6" w:space="0"/>
              <w:bottom w:val="single" w:color="000000" w:sz="6" w:space="0"/>
              <w:right w:val="single" w:color="000000" w:sz="6" w:space="0"/>
            </w:tcBorders>
            <w:shd w:val="clear" w:color="auto" w:fill="F2F2F2"/>
            <w:tcMar>
              <w:top w:w="120" w:type="dxa"/>
              <w:left w:w="120" w:type="dxa"/>
              <w:bottom w:w="120" w:type="dxa"/>
              <w:right w:w="120" w:type="dxa"/>
            </w:tcMar>
            <w:vAlign w:val="center"/>
          </w:tcPr>
          <w:p w14:paraId="31544B66">
            <w:pPr>
              <w:pStyle w:val="82"/>
            </w:pPr>
            <w:r>
              <w:t>数据标识 (HEX)</w:t>
            </w:r>
          </w:p>
        </w:tc>
        <w:tc>
          <w:tcPr>
            <w:tcW w:w="0" w:type="auto"/>
            <w:vMerge w:val="restart"/>
            <w:tcBorders>
              <w:top w:val="single" w:color="000000" w:sz="6" w:space="0"/>
              <w:left w:val="single" w:color="000000" w:sz="6" w:space="0"/>
              <w:bottom w:val="single" w:color="000000" w:sz="6" w:space="0"/>
              <w:right w:val="single" w:color="000000" w:sz="6" w:space="0"/>
            </w:tcBorders>
            <w:shd w:val="clear" w:color="auto" w:fill="F2F2F2"/>
            <w:tcMar>
              <w:top w:w="120" w:type="dxa"/>
              <w:left w:w="120" w:type="dxa"/>
              <w:bottom w:w="120" w:type="dxa"/>
              <w:right w:w="120" w:type="dxa"/>
            </w:tcMar>
            <w:vAlign w:val="center"/>
          </w:tcPr>
          <w:p w14:paraId="09DD5948">
            <w:pPr>
              <w:pStyle w:val="82"/>
            </w:pPr>
            <w:r>
              <w:t>数据格式</w:t>
            </w:r>
          </w:p>
        </w:tc>
        <w:tc>
          <w:tcPr>
            <w:tcW w:w="0" w:type="auto"/>
            <w:vMerge w:val="restart"/>
            <w:tcBorders>
              <w:top w:val="single" w:color="000000" w:sz="6" w:space="0"/>
              <w:left w:val="single" w:color="000000" w:sz="6" w:space="0"/>
              <w:bottom w:val="single" w:color="000000" w:sz="6" w:space="0"/>
              <w:right w:val="single" w:color="000000" w:sz="6" w:space="0"/>
            </w:tcBorders>
            <w:shd w:val="clear" w:color="auto" w:fill="F2F2F2"/>
            <w:tcMar>
              <w:top w:w="120" w:type="dxa"/>
              <w:left w:w="120" w:type="dxa"/>
              <w:bottom w:w="120" w:type="dxa"/>
              <w:right w:w="120" w:type="dxa"/>
            </w:tcMar>
            <w:vAlign w:val="center"/>
          </w:tcPr>
          <w:p w14:paraId="0BB6CEBD">
            <w:pPr>
              <w:pStyle w:val="82"/>
            </w:pPr>
            <w:r>
              <w:t>长度 (字节)</w:t>
            </w:r>
          </w:p>
        </w:tc>
        <w:tc>
          <w:tcPr>
            <w:tcW w:w="0" w:type="auto"/>
            <w:vMerge w:val="restart"/>
            <w:tcBorders>
              <w:top w:val="single" w:color="000000" w:sz="6" w:space="0"/>
              <w:left w:val="single" w:color="000000" w:sz="6" w:space="0"/>
              <w:bottom w:val="single" w:color="000000" w:sz="6" w:space="0"/>
              <w:right w:val="single" w:color="000000" w:sz="6" w:space="0"/>
            </w:tcBorders>
            <w:shd w:val="clear" w:color="auto" w:fill="F2F2F2"/>
            <w:tcMar>
              <w:top w:w="120" w:type="dxa"/>
              <w:left w:w="120" w:type="dxa"/>
              <w:bottom w:w="120" w:type="dxa"/>
              <w:right w:w="120" w:type="dxa"/>
            </w:tcMar>
            <w:vAlign w:val="center"/>
          </w:tcPr>
          <w:p w14:paraId="7F25E93F">
            <w:pPr>
              <w:pStyle w:val="82"/>
            </w:pPr>
            <w:r>
              <w:t>单位/说明</w:t>
            </w:r>
          </w:p>
        </w:tc>
        <w:tc>
          <w:tcPr>
            <w:tcW w:w="0" w:type="auto"/>
            <w:vMerge w:val="restart"/>
            <w:tcBorders>
              <w:top w:val="single" w:color="000000" w:sz="6" w:space="0"/>
              <w:left w:val="single" w:color="000000" w:sz="6" w:space="0"/>
              <w:bottom w:val="single" w:color="000000" w:sz="6" w:space="0"/>
              <w:right w:val="single" w:color="000000" w:sz="6" w:space="0"/>
            </w:tcBorders>
            <w:shd w:val="clear" w:color="auto" w:fill="F2F2F2"/>
            <w:tcMar>
              <w:top w:w="120" w:type="dxa"/>
              <w:left w:w="120" w:type="dxa"/>
              <w:bottom w:w="120" w:type="dxa"/>
              <w:right w:w="120" w:type="dxa"/>
            </w:tcMar>
            <w:vAlign w:val="center"/>
          </w:tcPr>
          <w:p w14:paraId="6C7205C1">
            <w:pPr>
              <w:pStyle w:val="82"/>
            </w:pPr>
            <w:r>
              <w:t>数据项名称</w:t>
            </w:r>
          </w:p>
        </w:tc>
      </w:tr>
      <w:tr w14:paraId="569CC320">
        <w:tblPrEx>
          <w:tblCellMar>
            <w:top w:w="15" w:type="dxa"/>
            <w:left w:w="15" w:type="dxa"/>
            <w:bottom w:w="15" w:type="dxa"/>
            <w:right w:w="15" w:type="dxa"/>
          </w:tblCellMar>
        </w:tblPrEx>
        <w:trPr>
          <w:tblHeader/>
        </w:trPr>
        <w:tc>
          <w:tcPr>
            <w:tcW w:w="0" w:type="auto"/>
            <w:tcBorders>
              <w:top w:val="single" w:color="000000" w:sz="6" w:space="0"/>
              <w:left w:val="single" w:color="000000" w:sz="6" w:space="0"/>
              <w:bottom w:val="single" w:color="000000" w:sz="6" w:space="0"/>
              <w:right w:val="single" w:color="000000" w:sz="6" w:space="0"/>
            </w:tcBorders>
            <w:shd w:val="clear" w:color="auto" w:fill="F2F2F2"/>
            <w:tcMar>
              <w:top w:w="120" w:type="dxa"/>
              <w:left w:w="120" w:type="dxa"/>
              <w:bottom w:w="120" w:type="dxa"/>
              <w:right w:w="120" w:type="dxa"/>
            </w:tcMar>
            <w:vAlign w:val="center"/>
          </w:tcPr>
          <w:p w14:paraId="3BEC93B7">
            <w:pPr>
              <w:pStyle w:val="82"/>
            </w:pPr>
            <w:r>
              <w:t>D3</w:t>
            </w:r>
          </w:p>
        </w:tc>
        <w:tc>
          <w:tcPr>
            <w:tcW w:w="0" w:type="auto"/>
            <w:tcBorders>
              <w:top w:val="single" w:color="000000" w:sz="6" w:space="0"/>
              <w:left w:val="single" w:color="000000" w:sz="6" w:space="0"/>
              <w:bottom w:val="single" w:color="000000" w:sz="6" w:space="0"/>
              <w:right w:val="single" w:color="000000" w:sz="6" w:space="0"/>
            </w:tcBorders>
            <w:shd w:val="clear" w:color="auto" w:fill="F2F2F2"/>
            <w:tcMar>
              <w:top w:w="120" w:type="dxa"/>
              <w:left w:w="120" w:type="dxa"/>
              <w:bottom w:w="120" w:type="dxa"/>
              <w:right w:w="120" w:type="dxa"/>
            </w:tcMar>
            <w:vAlign w:val="center"/>
          </w:tcPr>
          <w:p w14:paraId="7DEB9FAE">
            <w:pPr>
              <w:pStyle w:val="82"/>
            </w:pPr>
            <w:r>
              <w:t>D2</w:t>
            </w:r>
          </w:p>
        </w:tc>
        <w:tc>
          <w:tcPr>
            <w:tcW w:w="0" w:type="auto"/>
            <w:tcBorders>
              <w:top w:val="single" w:color="000000" w:sz="6" w:space="0"/>
              <w:left w:val="single" w:color="000000" w:sz="6" w:space="0"/>
              <w:bottom w:val="single" w:color="000000" w:sz="6" w:space="0"/>
              <w:right w:val="single" w:color="000000" w:sz="6" w:space="0"/>
            </w:tcBorders>
            <w:shd w:val="clear" w:color="auto" w:fill="F2F2F2"/>
            <w:tcMar>
              <w:top w:w="120" w:type="dxa"/>
              <w:left w:w="120" w:type="dxa"/>
              <w:bottom w:w="120" w:type="dxa"/>
              <w:right w:w="120" w:type="dxa"/>
            </w:tcMar>
            <w:vAlign w:val="center"/>
          </w:tcPr>
          <w:p w14:paraId="5359CBFF">
            <w:pPr>
              <w:pStyle w:val="82"/>
            </w:pPr>
            <w:r>
              <w:t>D1</w:t>
            </w:r>
          </w:p>
        </w:tc>
        <w:tc>
          <w:tcPr>
            <w:tcW w:w="0" w:type="auto"/>
            <w:tcBorders>
              <w:top w:val="single" w:color="000000" w:sz="6" w:space="0"/>
              <w:left w:val="single" w:color="000000" w:sz="6" w:space="0"/>
              <w:bottom w:val="single" w:color="000000" w:sz="6" w:space="0"/>
              <w:right w:val="single" w:color="000000" w:sz="6" w:space="0"/>
            </w:tcBorders>
            <w:shd w:val="clear" w:color="auto" w:fill="F2F2F2"/>
            <w:tcMar>
              <w:top w:w="120" w:type="dxa"/>
              <w:left w:w="120" w:type="dxa"/>
              <w:bottom w:w="120" w:type="dxa"/>
              <w:right w:w="120" w:type="dxa"/>
            </w:tcMar>
            <w:vAlign w:val="center"/>
          </w:tcPr>
          <w:p w14:paraId="36F3E428">
            <w:pPr>
              <w:pStyle w:val="82"/>
            </w:pPr>
            <w:r>
              <w:t>D0</w:t>
            </w:r>
          </w:p>
        </w:tc>
        <w:tc>
          <w:tcPr>
            <w:tcW w:w="0" w:type="auto"/>
            <w:vMerge w:val="continue"/>
            <w:tcBorders>
              <w:top w:val="single" w:color="000000" w:sz="6" w:space="0"/>
              <w:left w:val="single" w:color="000000" w:sz="6" w:space="0"/>
              <w:bottom w:val="single" w:color="000000" w:sz="6" w:space="0"/>
              <w:right w:val="single" w:color="000000" w:sz="6" w:space="0"/>
            </w:tcBorders>
            <w:vAlign w:val="center"/>
          </w:tcPr>
          <w:p w14:paraId="4584A94C">
            <w:pPr>
              <w:pStyle w:val="82"/>
            </w:pPr>
          </w:p>
        </w:tc>
        <w:tc>
          <w:tcPr>
            <w:tcW w:w="0" w:type="auto"/>
            <w:vMerge w:val="continue"/>
            <w:tcBorders>
              <w:top w:val="single" w:color="000000" w:sz="6" w:space="0"/>
              <w:left w:val="single" w:color="000000" w:sz="6" w:space="0"/>
              <w:bottom w:val="single" w:color="000000" w:sz="6" w:space="0"/>
              <w:right w:val="single" w:color="000000" w:sz="6" w:space="0"/>
            </w:tcBorders>
            <w:vAlign w:val="center"/>
          </w:tcPr>
          <w:p w14:paraId="0D5FAF7D">
            <w:pPr>
              <w:pStyle w:val="82"/>
            </w:pPr>
          </w:p>
        </w:tc>
        <w:tc>
          <w:tcPr>
            <w:tcW w:w="0" w:type="auto"/>
            <w:vMerge w:val="continue"/>
            <w:tcBorders>
              <w:top w:val="single" w:color="000000" w:sz="6" w:space="0"/>
              <w:left w:val="single" w:color="000000" w:sz="6" w:space="0"/>
              <w:bottom w:val="single" w:color="000000" w:sz="6" w:space="0"/>
              <w:right w:val="single" w:color="000000" w:sz="6" w:space="0"/>
            </w:tcBorders>
            <w:vAlign w:val="center"/>
          </w:tcPr>
          <w:p w14:paraId="2ADC10F3">
            <w:pPr>
              <w:pStyle w:val="82"/>
            </w:pPr>
          </w:p>
        </w:tc>
        <w:tc>
          <w:tcPr>
            <w:tcW w:w="0" w:type="auto"/>
            <w:vMerge w:val="continue"/>
            <w:tcBorders>
              <w:top w:val="single" w:color="000000" w:sz="6" w:space="0"/>
              <w:left w:val="single" w:color="000000" w:sz="6" w:space="0"/>
              <w:bottom w:val="single" w:color="000000" w:sz="6" w:space="0"/>
              <w:right w:val="single" w:color="000000" w:sz="6" w:space="0"/>
            </w:tcBorders>
            <w:vAlign w:val="center"/>
          </w:tcPr>
          <w:p w14:paraId="5782F924">
            <w:pPr>
              <w:pStyle w:val="82"/>
            </w:pPr>
          </w:p>
        </w:tc>
      </w:tr>
      <w:tr w14:paraId="7119DB14">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120" w:type="dxa"/>
              <w:left w:w="120" w:type="dxa"/>
              <w:bottom w:w="120" w:type="dxa"/>
              <w:right w:w="120" w:type="dxa"/>
            </w:tcMar>
            <w:vAlign w:val="center"/>
          </w:tcPr>
          <w:p w14:paraId="56F695CA">
            <w:pPr>
              <w:pStyle w:val="82"/>
            </w:pPr>
            <w:r>
              <w:t>E4</w:t>
            </w:r>
          </w:p>
        </w:tc>
        <w:tc>
          <w:tcPr>
            <w:tcW w:w="0" w:type="auto"/>
            <w:tcBorders>
              <w:top w:val="single" w:color="000000" w:sz="6" w:space="0"/>
              <w:left w:val="single" w:color="000000" w:sz="6" w:space="0"/>
              <w:bottom w:val="single" w:color="000000" w:sz="6" w:space="0"/>
              <w:right w:val="single" w:color="000000" w:sz="6" w:space="0"/>
            </w:tcBorders>
            <w:tcMar>
              <w:top w:w="120" w:type="dxa"/>
              <w:left w:w="120" w:type="dxa"/>
              <w:bottom w:w="120" w:type="dxa"/>
              <w:right w:w="120" w:type="dxa"/>
            </w:tcMar>
            <w:vAlign w:val="center"/>
          </w:tcPr>
          <w:p w14:paraId="4CDD4731">
            <w:pPr>
              <w:pStyle w:val="82"/>
            </w:pPr>
            <w:r>
              <w:t>0A</w:t>
            </w:r>
          </w:p>
        </w:tc>
        <w:tc>
          <w:tcPr>
            <w:tcW w:w="0" w:type="auto"/>
            <w:tcBorders>
              <w:top w:val="single" w:color="000000" w:sz="6" w:space="0"/>
              <w:left w:val="single" w:color="000000" w:sz="6" w:space="0"/>
              <w:bottom w:val="single" w:color="000000" w:sz="6" w:space="0"/>
              <w:right w:val="single" w:color="000000" w:sz="6" w:space="0"/>
            </w:tcBorders>
            <w:tcMar>
              <w:top w:w="120" w:type="dxa"/>
              <w:left w:w="120" w:type="dxa"/>
              <w:bottom w:w="120" w:type="dxa"/>
              <w:right w:w="120" w:type="dxa"/>
            </w:tcMar>
            <w:vAlign w:val="center"/>
          </w:tcPr>
          <w:p w14:paraId="6000F05A">
            <w:pPr>
              <w:pStyle w:val="82"/>
            </w:pPr>
            <w:r>
              <w:t>00</w:t>
            </w:r>
          </w:p>
        </w:tc>
        <w:tc>
          <w:tcPr>
            <w:tcW w:w="0" w:type="auto"/>
            <w:tcBorders>
              <w:top w:val="single" w:color="000000" w:sz="6" w:space="0"/>
              <w:left w:val="single" w:color="000000" w:sz="6" w:space="0"/>
              <w:bottom w:val="single" w:color="000000" w:sz="6" w:space="0"/>
              <w:right w:val="single" w:color="000000" w:sz="6" w:space="0"/>
            </w:tcBorders>
            <w:tcMar>
              <w:top w:w="120" w:type="dxa"/>
              <w:left w:w="120" w:type="dxa"/>
              <w:bottom w:w="120" w:type="dxa"/>
              <w:right w:w="120" w:type="dxa"/>
            </w:tcMar>
            <w:vAlign w:val="center"/>
          </w:tcPr>
          <w:p w14:paraId="1F118676">
            <w:pPr>
              <w:pStyle w:val="82"/>
            </w:pPr>
            <w:r>
              <w:t>01</w:t>
            </w:r>
          </w:p>
        </w:tc>
        <w:tc>
          <w:tcPr>
            <w:tcW w:w="0" w:type="auto"/>
            <w:tcBorders>
              <w:top w:val="single" w:color="000000" w:sz="6" w:space="0"/>
              <w:left w:val="single" w:color="000000" w:sz="6" w:space="0"/>
              <w:bottom w:val="single" w:color="000000" w:sz="6" w:space="0"/>
              <w:right w:val="single" w:color="000000" w:sz="6" w:space="0"/>
            </w:tcBorders>
            <w:tcMar>
              <w:top w:w="120" w:type="dxa"/>
              <w:left w:w="120" w:type="dxa"/>
              <w:bottom w:w="120" w:type="dxa"/>
              <w:right w:w="120" w:type="dxa"/>
            </w:tcMar>
            <w:vAlign w:val="center"/>
          </w:tcPr>
          <w:p w14:paraId="7E602791">
            <w:pPr>
              <w:pStyle w:val="82"/>
            </w:pPr>
            <w:r>
              <w:t>(见注1)</w:t>
            </w:r>
          </w:p>
        </w:tc>
        <w:tc>
          <w:tcPr>
            <w:tcW w:w="0" w:type="auto"/>
            <w:tcBorders>
              <w:top w:val="single" w:color="000000" w:sz="6" w:space="0"/>
              <w:left w:val="single" w:color="000000" w:sz="6" w:space="0"/>
              <w:bottom w:val="single" w:color="000000" w:sz="6" w:space="0"/>
              <w:right w:val="single" w:color="000000" w:sz="6" w:space="0"/>
            </w:tcBorders>
            <w:tcMar>
              <w:top w:w="120" w:type="dxa"/>
              <w:left w:w="120" w:type="dxa"/>
              <w:bottom w:w="120" w:type="dxa"/>
              <w:right w:w="120" w:type="dxa"/>
            </w:tcMar>
            <w:vAlign w:val="center"/>
          </w:tcPr>
          <w:p w14:paraId="49DAE98D">
            <w:pPr>
              <w:pStyle w:val="82"/>
            </w:pPr>
            <w:r>
              <w:t>31</w:t>
            </w:r>
          </w:p>
        </w:tc>
        <w:tc>
          <w:tcPr>
            <w:tcW w:w="0" w:type="auto"/>
            <w:tcBorders>
              <w:top w:val="single" w:color="000000" w:sz="6" w:space="0"/>
              <w:left w:val="single" w:color="000000" w:sz="6" w:space="0"/>
              <w:bottom w:val="single" w:color="000000" w:sz="6" w:space="0"/>
              <w:right w:val="single" w:color="000000" w:sz="6" w:space="0"/>
            </w:tcBorders>
            <w:tcMar>
              <w:top w:w="120" w:type="dxa"/>
              <w:left w:w="120" w:type="dxa"/>
              <w:bottom w:w="120" w:type="dxa"/>
              <w:right w:w="120" w:type="dxa"/>
            </w:tcMar>
            <w:vAlign w:val="center"/>
          </w:tcPr>
          <w:p w14:paraId="6E3E9412">
            <w:pPr>
              <w:pStyle w:val="82"/>
            </w:pPr>
            <w:r>
              <w:t>单次充电的完整结算信息</w:t>
            </w:r>
          </w:p>
        </w:tc>
        <w:tc>
          <w:tcPr>
            <w:tcW w:w="0" w:type="auto"/>
            <w:tcBorders>
              <w:top w:val="single" w:color="000000" w:sz="6" w:space="0"/>
              <w:left w:val="single" w:color="000000" w:sz="6" w:space="0"/>
              <w:bottom w:val="single" w:color="000000" w:sz="6" w:space="0"/>
              <w:right w:val="single" w:color="000000" w:sz="6" w:space="0"/>
            </w:tcBorders>
            <w:tcMar>
              <w:top w:w="120" w:type="dxa"/>
              <w:left w:w="120" w:type="dxa"/>
              <w:bottom w:w="120" w:type="dxa"/>
              <w:right w:w="120" w:type="dxa"/>
            </w:tcMar>
            <w:vAlign w:val="center"/>
          </w:tcPr>
          <w:p w14:paraId="71C36C2C">
            <w:pPr>
              <w:pStyle w:val="82"/>
            </w:pPr>
            <w:r>
              <w:t>本次充电计量信息</w:t>
            </w:r>
          </w:p>
        </w:tc>
      </w:tr>
      <w:tr w14:paraId="7E8A2227">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120" w:type="dxa"/>
              <w:left w:w="120" w:type="dxa"/>
              <w:bottom w:w="120" w:type="dxa"/>
              <w:right w:w="120" w:type="dxa"/>
            </w:tcMar>
            <w:vAlign w:val="center"/>
          </w:tcPr>
          <w:p w14:paraId="07F67B4A">
            <w:pPr>
              <w:pStyle w:val="82"/>
            </w:pPr>
            <w:r>
              <w:t>C0</w:t>
            </w:r>
          </w:p>
        </w:tc>
        <w:tc>
          <w:tcPr>
            <w:tcW w:w="0" w:type="auto"/>
            <w:tcBorders>
              <w:top w:val="single" w:color="000000" w:sz="6" w:space="0"/>
              <w:left w:val="single" w:color="000000" w:sz="6" w:space="0"/>
              <w:bottom w:val="single" w:color="000000" w:sz="6" w:space="0"/>
              <w:right w:val="single" w:color="000000" w:sz="6" w:space="0"/>
            </w:tcBorders>
            <w:tcMar>
              <w:top w:w="120" w:type="dxa"/>
              <w:left w:w="120" w:type="dxa"/>
              <w:bottom w:w="120" w:type="dxa"/>
              <w:right w:w="120" w:type="dxa"/>
            </w:tcMar>
            <w:vAlign w:val="center"/>
          </w:tcPr>
          <w:p w14:paraId="15E48473">
            <w:pPr>
              <w:pStyle w:val="82"/>
            </w:pPr>
            <w:r>
              <w:t>01</w:t>
            </w:r>
          </w:p>
        </w:tc>
        <w:tc>
          <w:tcPr>
            <w:tcW w:w="0" w:type="auto"/>
            <w:tcBorders>
              <w:top w:val="single" w:color="000000" w:sz="6" w:space="0"/>
              <w:left w:val="single" w:color="000000" w:sz="6" w:space="0"/>
              <w:bottom w:val="single" w:color="000000" w:sz="6" w:space="0"/>
              <w:right w:val="single" w:color="000000" w:sz="6" w:space="0"/>
            </w:tcBorders>
            <w:tcMar>
              <w:top w:w="120" w:type="dxa"/>
              <w:left w:w="120" w:type="dxa"/>
              <w:bottom w:w="120" w:type="dxa"/>
              <w:right w:w="120" w:type="dxa"/>
            </w:tcMar>
            <w:vAlign w:val="center"/>
          </w:tcPr>
          <w:p w14:paraId="7AB9FCF3">
            <w:pPr>
              <w:pStyle w:val="82"/>
            </w:pPr>
            <w:r>
              <w:t>00</w:t>
            </w:r>
          </w:p>
        </w:tc>
        <w:tc>
          <w:tcPr>
            <w:tcW w:w="0" w:type="auto"/>
            <w:tcBorders>
              <w:top w:val="single" w:color="000000" w:sz="6" w:space="0"/>
              <w:left w:val="single" w:color="000000" w:sz="6" w:space="0"/>
              <w:bottom w:val="single" w:color="000000" w:sz="6" w:space="0"/>
              <w:right w:val="single" w:color="000000" w:sz="6" w:space="0"/>
            </w:tcBorders>
            <w:tcMar>
              <w:top w:w="120" w:type="dxa"/>
              <w:left w:w="120" w:type="dxa"/>
              <w:bottom w:w="120" w:type="dxa"/>
              <w:right w:w="120" w:type="dxa"/>
            </w:tcMar>
            <w:vAlign w:val="center"/>
          </w:tcPr>
          <w:p w14:paraId="4C29F9ED">
            <w:pPr>
              <w:pStyle w:val="82"/>
            </w:pPr>
            <w:r>
              <w:t>00</w:t>
            </w:r>
          </w:p>
        </w:tc>
        <w:tc>
          <w:tcPr>
            <w:tcW w:w="0" w:type="auto"/>
            <w:tcBorders>
              <w:top w:val="single" w:color="000000" w:sz="6" w:space="0"/>
              <w:left w:val="single" w:color="000000" w:sz="6" w:space="0"/>
              <w:bottom w:val="single" w:color="000000" w:sz="6" w:space="0"/>
              <w:right w:val="single" w:color="000000" w:sz="6" w:space="0"/>
            </w:tcBorders>
            <w:tcMar>
              <w:top w:w="120" w:type="dxa"/>
              <w:left w:w="120" w:type="dxa"/>
              <w:bottom w:w="120" w:type="dxa"/>
              <w:right w:w="120" w:type="dxa"/>
            </w:tcMar>
            <w:vAlign w:val="center"/>
          </w:tcPr>
          <w:p w14:paraId="0165D87C">
            <w:pPr>
              <w:pStyle w:val="82"/>
            </w:pPr>
            <w:r>
              <w:t>NN...N</w:t>
            </w:r>
          </w:p>
        </w:tc>
        <w:tc>
          <w:tcPr>
            <w:tcW w:w="0" w:type="auto"/>
            <w:tcBorders>
              <w:top w:val="single" w:color="000000" w:sz="6" w:space="0"/>
              <w:left w:val="single" w:color="000000" w:sz="6" w:space="0"/>
              <w:bottom w:val="single" w:color="000000" w:sz="6" w:space="0"/>
              <w:right w:val="single" w:color="000000" w:sz="6" w:space="0"/>
            </w:tcBorders>
            <w:tcMar>
              <w:top w:w="120" w:type="dxa"/>
              <w:left w:w="120" w:type="dxa"/>
              <w:bottom w:w="120" w:type="dxa"/>
              <w:right w:w="120" w:type="dxa"/>
            </w:tcMar>
            <w:vAlign w:val="center"/>
          </w:tcPr>
          <w:p w14:paraId="3B2EC94A">
            <w:pPr>
              <w:pStyle w:val="82"/>
            </w:pPr>
            <w:r>
              <w:t>16</w:t>
            </w:r>
          </w:p>
        </w:tc>
        <w:tc>
          <w:tcPr>
            <w:tcW w:w="0" w:type="auto"/>
            <w:tcBorders>
              <w:top w:val="single" w:color="000000" w:sz="6" w:space="0"/>
              <w:left w:val="single" w:color="000000" w:sz="6" w:space="0"/>
              <w:bottom w:val="single" w:color="000000" w:sz="6" w:space="0"/>
              <w:right w:val="single" w:color="000000" w:sz="6" w:space="0"/>
            </w:tcBorders>
            <w:tcMar>
              <w:top w:w="120" w:type="dxa"/>
              <w:left w:w="120" w:type="dxa"/>
              <w:bottom w:w="120" w:type="dxa"/>
              <w:right w:w="120" w:type="dxa"/>
            </w:tcMar>
            <w:vAlign w:val="center"/>
          </w:tcPr>
          <w:p w14:paraId="0CECF73A">
            <w:pPr>
              <w:pStyle w:val="82"/>
            </w:pPr>
            <w:r>
              <w:t>ASCII码，唯一交易流水号</w:t>
            </w:r>
          </w:p>
        </w:tc>
        <w:tc>
          <w:tcPr>
            <w:tcW w:w="0" w:type="auto"/>
            <w:tcBorders>
              <w:top w:val="single" w:color="000000" w:sz="6" w:space="0"/>
              <w:left w:val="single" w:color="000000" w:sz="6" w:space="0"/>
              <w:bottom w:val="single" w:color="000000" w:sz="6" w:space="0"/>
              <w:right w:val="single" w:color="000000" w:sz="6" w:space="0"/>
            </w:tcBorders>
            <w:tcMar>
              <w:top w:w="120" w:type="dxa"/>
              <w:left w:w="120" w:type="dxa"/>
              <w:bottom w:w="120" w:type="dxa"/>
              <w:right w:w="120" w:type="dxa"/>
            </w:tcMar>
            <w:vAlign w:val="center"/>
          </w:tcPr>
          <w:p w14:paraId="79D514C1">
            <w:pPr>
              <w:pStyle w:val="82"/>
            </w:pPr>
            <w:r>
              <w:t>充电订单号</w:t>
            </w:r>
          </w:p>
        </w:tc>
      </w:tr>
      <w:tr w14:paraId="70D30CB4">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120" w:type="dxa"/>
              <w:left w:w="120" w:type="dxa"/>
              <w:bottom w:w="120" w:type="dxa"/>
              <w:right w:w="120" w:type="dxa"/>
            </w:tcMar>
            <w:vAlign w:val="center"/>
          </w:tcPr>
          <w:p w14:paraId="144D1DB1">
            <w:pPr>
              <w:pStyle w:val="82"/>
            </w:pPr>
            <w:r>
              <w:t>C0</w:t>
            </w:r>
          </w:p>
        </w:tc>
        <w:tc>
          <w:tcPr>
            <w:tcW w:w="0" w:type="auto"/>
            <w:tcBorders>
              <w:top w:val="single" w:color="000000" w:sz="6" w:space="0"/>
              <w:left w:val="single" w:color="000000" w:sz="6" w:space="0"/>
              <w:bottom w:val="single" w:color="000000" w:sz="6" w:space="0"/>
              <w:right w:val="single" w:color="000000" w:sz="6" w:space="0"/>
            </w:tcBorders>
            <w:tcMar>
              <w:top w:w="120" w:type="dxa"/>
              <w:left w:w="120" w:type="dxa"/>
              <w:bottom w:w="120" w:type="dxa"/>
              <w:right w:w="120" w:type="dxa"/>
            </w:tcMar>
            <w:vAlign w:val="center"/>
          </w:tcPr>
          <w:p w14:paraId="6D78DBF3">
            <w:pPr>
              <w:pStyle w:val="82"/>
            </w:pPr>
            <w:r>
              <w:t>01</w:t>
            </w:r>
          </w:p>
        </w:tc>
        <w:tc>
          <w:tcPr>
            <w:tcW w:w="0" w:type="auto"/>
            <w:tcBorders>
              <w:top w:val="single" w:color="000000" w:sz="6" w:space="0"/>
              <w:left w:val="single" w:color="000000" w:sz="6" w:space="0"/>
              <w:bottom w:val="single" w:color="000000" w:sz="6" w:space="0"/>
              <w:right w:val="single" w:color="000000" w:sz="6" w:space="0"/>
            </w:tcBorders>
            <w:tcMar>
              <w:top w:w="120" w:type="dxa"/>
              <w:left w:w="120" w:type="dxa"/>
              <w:bottom w:w="120" w:type="dxa"/>
              <w:right w:w="120" w:type="dxa"/>
            </w:tcMar>
            <w:vAlign w:val="center"/>
          </w:tcPr>
          <w:p w14:paraId="509AF283">
            <w:pPr>
              <w:pStyle w:val="82"/>
            </w:pPr>
            <w:r>
              <w:t>00</w:t>
            </w:r>
          </w:p>
        </w:tc>
        <w:tc>
          <w:tcPr>
            <w:tcW w:w="0" w:type="auto"/>
            <w:tcBorders>
              <w:top w:val="single" w:color="000000" w:sz="6" w:space="0"/>
              <w:left w:val="single" w:color="000000" w:sz="6" w:space="0"/>
              <w:bottom w:val="single" w:color="000000" w:sz="6" w:space="0"/>
              <w:right w:val="single" w:color="000000" w:sz="6" w:space="0"/>
            </w:tcBorders>
            <w:tcMar>
              <w:top w:w="120" w:type="dxa"/>
              <w:left w:w="120" w:type="dxa"/>
              <w:bottom w:w="120" w:type="dxa"/>
              <w:right w:w="120" w:type="dxa"/>
            </w:tcMar>
            <w:vAlign w:val="center"/>
          </w:tcPr>
          <w:p w14:paraId="63566188">
            <w:pPr>
              <w:pStyle w:val="82"/>
            </w:pPr>
            <w:r>
              <w:t>01</w:t>
            </w:r>
          </w:p>
        </w:tc>
        <w:tc>
          <w:tcPr>
            <w:tcW w:w="0" w:type="auto"/>
            <w:tcBorders>
              <w:top w:val="single" w:color="000000" w:sz="6" w:space="0"/>
              <w:left w:val="single" w:color="000000" w:sz="6" w:space="0"/>
              <w:bottom w:val="single" w:color="000000" w:sz="6" w:space="0"/>
              <w:right w:val="single" w:color="000000" w:sz="6" w:space="0"/>
            </w:tcBorders>
            <w:tcMar>
              <w:top w:w="120" w:type="dxa"/>
              <w:left w:w="120" w:type="dxa"/>
              <w:bottom w:w="120" w:type="dxa"/>
              <w:right w:w="120" w:type="dxa"/>
            </w:tcMar>
            <w:vAlign w:val="center"/>
          </w:tcPr>
          <w:p w14:paraId="03E8855D">
            <w:pPr>
              <w:pStyle w:val="82"/>
            </w:pPr>
            <w:r>
              <w:t>YYYYMMDDhhmmss</w:t>
            </w:r>
          </w:p>
        </w:tc>
        <w:tc>
          <w:tcPr>
            <w:tcW w:w="0" w:type="auto"/>
            <w:tcBorders>
              <w:top w:val="single" w:color="000000" w:sz="6" w:space="0"/>
              <w:left w:val="single" w:color="000000" w:sz="6" w:space="0"/>
              <w:bottom w:val="single" w:color="000000" w:sz="6" w:space="0"/>
              <w:right w:val="single" w:color="000000" w:sz="6" w:space="0"/>
            </w:tcBorders>
            <w:tcMar>
              <w:top w:w="120" w:type="dxa"/>
              <w:left w:w="120" w:type="dxa"/>
              <w:bottom w:w="120" w:type="dxa"/>
              <w:right w:w="120" w:type="dxa"/>
            </w:tcMar>
            <w:vAlign w:val="center"/>
          </w:tcPr>
          <w:p w14:paraId="0A50E3EE">
            <w:pPr>
              <w:pStyle w:val="82"/>
            </w:pPr>
            <w:r>
              <w:t>7</w:t>
            </w:r>
          </w:p>
        </w:tc>
        <w:tc>
          <w:tcPr>
            <w:tcW w:w="0" w:type="auto"/>
            <w:tcBorders>
              <w:top w:val="single" w:color="000000" w:sz="6" w:space="0"/>
              <w:left w:val="single" w:color="000000" w:sz="6" w:space="0"/>
              <w:bottom w:val="single" w:color="000000" w:sz="6" w:space="0"/>
              <w:right w:val="single" w:color="000000" w:sz="6" w:space="0"/>
            </w:tcBorders>
            <w:tcMar>
              <w:top w:w="120" w:type="dxa"/>
              <w:left w:w="120" w:type="dxa"/>
              <w:bottom w:w="120" w:type="dxa"/>
              <w:right w:w="120" w:type="dxa"/>
            </w:tcMar>
            <w:vAlign w:val="center"/>
          </w:tcPr>
          <w:p w14:paraId="5C44DC34">
            <w:pPr>
              <w:pStyle w:val="82"/>
            </w:pPr>
            <w:r>
              <w:t>BCD码</w:t>
            </w:r>
          </w:p>
        </w:tc>
        <w:tc>
          <w:tcPr>
            <w:tcW w:w="0" w:type="auto"/>
            <w:tcBorders>
              <w:top w:val="single" w:color="000000" w:sz="6" w:space="0"/>
              <w:left w:val="single" w:color="000000" w:sz="6" w:space="0"/>
              <w:bottom w:val="single" w:color="000000" w:sz="6" w:space="0"/>
              <w:right w:val="single" w:color="000000" w:sz="6" w:space="0"/>
            </w:tcBorders>
            <w:tcMar>
              <w:top w:w="120" w:type="dxa"/>
              <w:left w:w="120" w:type="dxa"/>
              <w:bottom w:w="120" w:type="dxa"/>
              <w:right w:w="120" w:type="dxa"/>
            </w:tcMar>
            <w:vAlign w:val="center"/>
          </w:tcPr>
          <w:p w14:paraId="58C0A050">
            <w:pPr>
              <w:pStyle w:val="82"/>
            </w:pPr>
            <w:r>
              <w:t>充电开始时间</w:t>
            </w:r>
          </w:p>
        </w:tc>
      </w:tr>
      <w:tr w14:paraId="2571BAAD">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120" w:type="dxa"/>
              <w:left w:w="120" w:type="dxa"/>
              <w:bottom w:w="120" w:type="dxa"/>
              <w:right w:w="120" w:type="dxa"/>
            </w:tcMar>
            <w:vAlign w:val="center"/>
          </w:tcPr>
          <w:p w14:paraId="6B9B47F4">
            <w:pPr>
              <w:pStyle w:val="82"/>
            </w:pPr>
            <w:r>
              <w:t>C0</w:t>
            </w:r>
          </w:p>
        </w:tc>
        <w:tc>
          <w:tcPr>
            <w:tcW w:w="0" w:type="auto"/>
            <w:tcBorders>
              <w:top w:val="single" w:color="000000" w:sz="6" w:space="0"/>
              <w:left w:val="single" w:color="000000" w:sz="6" w:space="0"/>
              <w:bottom w:val="single" w:color="000000" w:sz="6" w:space="0"/>
              <w:right w:val="single" w:color="000000" w:sz="6" w:space="0"/>
            </w:tcBorders>
            <w:tcMar>
              <w:top w:w="120" w:type="dxa"/>
              <w:left w:w="120" w:type="dxa"/>
              <w:bottom w:w="120" w:type="dxa"/>
              <w:right w:w="120" w:type="dxa"/>
            </w:tcMar>
            <w:vAlign w:val="center"/>
          </w:tcPr>
          <w:p w14:paraId="3F245181">
            <w:pPr>
              <w:pStyle w:val="82"/>
            </w:pPr>
            <w:r>
              <w:t>01</w:t>
            </w:r>
          </w:p>
        </w:tc>
        <w:tc>
          <w:tcPr>
            <w:tcW w:w="0" w:type="auto"/>
            <w:tcBorders>
              <w:top w:val="single" w:color="000000" w:sz="6" w:space="0"/>
              <w:left w:val="single" w:color="000000" w:sz="6" w:space="0"/>
              <w:bottom w:val="single" w:color="000000" w:sz="6" w:space="0"/>
              <w:right w:val="single" w:color="000000" w:sz="6" w:space="0"/>
            </w:tcBorders>
            <w:tcMar>
              <w:top w:w="120" w:type="dxa"/>
              <w:left w:w="120" w:type="dxa"/>
              <w:bottom w:w="120" w:type="dxa"/>
              <w:right w:w="120" w:type="dxa"/>
            </w:tcMar>
            <w:vAlign w:val="center"/>
          </w:tcPr>
          <w:p w14:paraId="6F57910F">
            <w:pPr>
              <w:pStyle w:val="82"/>
            </w:pPr>
            <w:r>
              <w:t>00</w:t>
            </w:r>
          </w:p>
        </w:tc>
        <w:tc>
          <w:tcPr>
            <w:tcW w:w="0" w:type="auto"/>
            <w:tcBorders>
              <w:top w:val="single" w:color="000000" w:sz="6" w:space="0"/>
              <w:left w:val="single" w:color="000000" w:sz="6" w:space="0"/>
              <w:bottom w:val="single" w:color="000000" w:sz="6" w:space="0"/>
              <w:right w:val="single" w:color="000000" w:sz="6" w:space="0"/>
            </w:tcBorders>
            <w:tcMar>
              <w:top w:w="120" w:type="dxa"/>
              <w:left w:w="120" w:type="dxa"/>
              <w:bottom w:w="120" w:type="dxa"/>
              <w:right w:w="120" w:type="dxa"/>
            </w:tcMar>
            <w:vAlign w:val="center"/>
          </w:tcPr>
          <w:p w14:paraId="0D64EC6E">
            <w:pPr>
              <w:pStyle w:val="82"/>
            </w:pPr>
            <w:r>
              <w:t>02</w:t>
            </w:r>
          </w:p>
        </w:tc>
        <w:tc>
          <w:tcPr>
            <w:tcW w:w="0" w:type="auto"/>
            <w:tcBorders>
              <w:top w:val="single" w:color="000000" w:sz="6" w:space="0"/>
              <w:left w:val="single" w:color="000000" w:sz="6" w:space="0"/>
              <w:bottom w:val="single" w:color="000000" w:sz="6" w:space="0"/>
              <w:right w:val="single" w:color="000000" w:sz="6" w:space="0"/>
            </w:tcBorders>
            <w:tcMar>
              <w:top w:w="120" w:type="dxa"/>
              <w:left w:w="120" w:type="dxa"/>
              <w:bottom w:w="120" w:type="dxa"/>
              <w:right w:w="120" w:type="dxa"/>
            </w:tcMar>
            <w:vAlign w:val="center"/>
          </w:tcPr>
          <w:p w14:paraId="73CEF4BA">
            <w:pPr>
              <w:pStyle w:val="82"/>
            </w:pPr>
            <w:r>
              <w:t>YYYYMMDDhhmmss</w:t>
            </w:r>
          </w:p>
        </w:tc>
        <w:tc>
          <w:tcPr>
            <w:tcW w:w="0" w:type="auto"/>
            <w:tcBorders>
              <w:top w:val="single" w:color="000000" w:sz="6" w:space="0"/>
              <w:left w:val="single" w:color="000000" w:sz="6" w:space="0"/>
              <w:bottom w:val="single" w:color="000000" w:sz="6" w:space="0"/>
              <w:right w:val="single" w:color="000000" w:sz="6" w:space="0"/>
            </w:tcBorders>
            <w:tcMar>
              <w:top w:w="120" w:type="dxa"/>
              <w:left w:w="120" w:type="dxa"/>
              <w:bottom w:w="120" w:type="dxa"/>
              <w:right w:w="120" w:type="dxa"/>
            </w:tcMar>
            <w:vAlign w:val="center"/>
          </w:tcPr>
          <w:p w14:paraId="658F6952">
            <w:pPr>
              <w:pStyle w:val="82"/>
            </w:pPr>
            <w:r>
              <w:t>7</w:t>
            </w:r>
          </w:p>
        </w:tc>
        <w:tc>
          <w:tcPr>
            <w:tcW w:w="0" w:type="auto"/>
            <w:tcBorders>
              <w:top w:val="single" w:color="000000" w:sz="6" w:space="0"/>
              <w:left w:val="single" w:color="000000" w:sz="6" w:space="0"/>
              <w:bottom w:val="single" w:color="000000" w:sz="6" w:space="0"/>
              <w:right w:val="single" w:color="000000" w:sz="6" w:space="0"/>
            </w:tcBorders>
            <w:tcMar>
              <w:top w:w="120" w:type="dxa"/>
              <w:left w:w="120" w:type="dxa"/>
              <w:bottom w:w="120" w:type="dxa"/>
              <w:right w:w="120" w:type="dxa"/>
            </w:tcMar>
            <w:vAlign w:val="center"/>
          </w:tcPr>
          <w:p w14:paraId="49C86267">
            <w:pPr>
              <w:pStyle w:val="82"/>
            </w:pPr>
            <w:r>
              <w:t>BCD码</w:t>
            </w:r>
          </w:p>
        </w:tc>
        <w:tc>
          <w:tcPr>
            <w:tcW w:w="0" w:type="auto"/>
            <w:tcBorders>
              <w:top w:val="single" w:color="000000" w:sz="6" w:space="0"/>
              <w:left w:val="single" w:color="000000" w:sz="6" w:space="0"/>
              <w:bottom w:val="single" w:color="000000" w:sz="6" w:space="0"/>
              <w:right w:val="single" w:color="000000" w:sz="6" w:space="0"/>
            </w:tcBorders>
            <w:tcMar>
              <w:top w:w="120" w:type="dxa"/>
              <w:left w:w="120" w:type="dxa"/>
              <w:bottom w:w="120" w:type="dxa"/>
              <w:right w:w="120" w:type="dxa"/>
            </w:tcMar>
            <w:vAlign w:val="center"/>
          </w:tcPr>
          <w:p w14:paraId="2773EDAD">
            <w:pPr>
              <w:pStyle w:val="82"/>
            </w:pPr>
            <w:r>
              <w:t>充电结束时间</w:t>
            </w:r>
          </w:p>
        </w:tc>
      </w:tr>
      <w:tr w14:paraId="71F47AC2">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120" w:type="dxa"/>
              <w:left w:w="120" w:type="dxa"/>
              <w:bottom w:w="120" w:type="dxa"/>
              <w:right w:w="120" w:type="dxa"/>
            </w:tcMar>
            <w:vAlign w:val="center"/>
          </w:tcPr>
          <w:p w14:paraId="17133480">
            <w:pPr>
              <w:pStyle w:val="82"/>
            </w:pPr>
            <w:r>
              <w:t>00</w:t>
            </w:r>
          </w:p>
        </w:tc>
        <w:tc>
          <w:tcPr>
            <w:tcW w:w="0" w:type="auto"/>
            <w:tcBorders>
              <w:top w:val="single" w:color="000000" w:sz="6" w:space="0"/>
              <w:left w:val="single" w:color="000000" w:sz="6" w:space="0"/>
              <w:bottom w:val="single" w:color="000000" w:sz="6" w:space="0"/>
              <w:right w:val="single" w:color="000000" w:sz="6" w:space="0"/>
            </w:tcBorders>
            <w:tcMar>
              <w:top w:w="120" w:type="dxa"/>
              <w:left w:w="120" w:type="dxa"/>
              <w:bottom w:w="120" w:type="dxa"/>
              <w:right w:w="120" w:type="dxa"/>
            </w:tcMar>
            <w:vAlign w:val="center"/>
          </w:tcPr>
          <w:p w14:paraId="56D1C813">
            <w:pPr>
              <w:pStyle w:val="82"/>
            </w:pPr>
            <w:r>
              <w:t>60</w:t>
            </w:r>
          </w:p>
        </w:tc>
        <w:tc>
          <w:tcPr>
            <w:tcW w:w="0" w:type="auto"/>
            <w:tcBorders>
              <w:top w:val="single" w:color="000000" w:sz="6" w:space="0"/>
              <w:left w:val="single" w:color="000000" w:sz="6" w:space="0"/>
              <w:bottom w:val="single" w:color="000000" w:sz="6" w:space="0"/>
              <w:right w:val="single" w:color="000000" w:sz="6" w:space="0"/>
            </w:tcBorders>
            <w:tcMar>
              <w:top w:w="120" w:type="dxa"/>
              <w:left w:w="120" w:type="dxa"/>
              <w:bottom w:w="120" w:type="dxa"/>
              <w:right w:w="120" w:type="dxa"/>
            </w:tcMar>
            <w:vAlign w:val="center"/>
          </w:tcPr>
          <w:p w14:paraId="48F555DF">
            <w:pPr>
              <w:pStyle w:val="82"/>
            </w:pPr>
            <w:r>
              <w:t>00</w:t>
            </w:r>
          </w:p>
        </w:tc>
        <w:tc>
          <w:tcPr>
            <w:tcW w:w="0" w:type="auto"/>
            <w:tcBorders>
              <w:top w:val="single" w:color="000000" w:sz="6" w:space="0"/>
              <w:left w:val="single" w:color="000000" w:sz="6" w:space="0"/>
              <w:bottom w:val="single" w:color="000000" w:sz="6" w:space="0"/>
              <w:right w:val="single" w:color="000000" w:sz="6" w:space="0"/>
            </w:tcBorders>
            <w:tcMar>
              <w:top w:w="120" w:type="dxa"/>
              <w:left w:w="120" w:type="dxa"/>
              <w:bottom w:w="120" w:type="dxa"/>
              <w:right w:w="120" w:type="dxa"/>
            </w:tcMar>
            <w:vAlign w:val="center"/>
          </w:tcPr>
          <w:p w14:paraId="06EC251B">
            <w:pPr>
              <w:pStyle w:val="82"/>
            </w:pPr>
            <w:r>
              <w:t>00</w:t>
            </w:r>
          </w:p>
        </w:tc>
        <w:tc>
          <w:tcPr>
            <w:tcW w:w="0" w:type="auto"/>
            <w:tcBorders>
              <w:top w:val="single" w:color="000000" w:sz="6" w:space="0"/>
              <w:left w:val="single" w:color="000000" w:sz="6" w:space="0"/>
              <w:bottom w:val="single" w:color="000000" w:sz="6" w:space="0"/>
              <w:right w:val="single" w:color="000000" w:sz="6" w:space="0"/>
            </w:tcBorders>
            <w:tcMar>
              <w:top w:w="120" w:type="dxa"/>
              <w:left w:w="120" w:type="dxa"/>
              <w:bottom w:w="120" w:type="dxa"/>
              <w:right w:w="120" w:type="dxa"/>
            </w:tcMar>
            <w:vAlign w:val="center"/>
          </w:tcPr>
          <w:p w14:paraId="2C582F29">
            <w:pPr>
              <w:pStyle w:val="82"/>
            </w:pPr>
            <w:r>
              <w:t>XXXXXXXX.XXXX</w:t>
            </w:r>
          </w:p>
        </w:tc>
        <w:tc>
          <w:tcPr>
            <w:tcW w:w="0" w:type="auto"/>
            <w:tcBorders>
              <w:top w:val="single" w:color="000000" w:sz="6" w:space="0"/>
              <w:left w:val="single" w:color="000000" w:sz="6" w:space="0"/>
              <w:bottom w:val="single" w:color="000000" w:sz="6" w:space="0"/>
              <w:right w:val="single" w:color="000000" w:sz="6" w:space="0"/>
            </w:tcBorders>
            <w:tcMar>
              <w:top w:w="120" w:type="dxa"/>
              <w:left w:w="120" w:type="dxa"/>
              <w:bottom w:w="120" w:type="dxa"/>
              <w:right w:w="120" w:type="dxa"/>
            </w:tcMar>
            <w:vAlign w:val="center"/>
          </w:tcPr>
          <w:p w14:paraId="4E161421">
            <w:pPr>
              <w:pStyle w:val="82"/>
            </w:pPr>
            <w:r>
              <w:t>5</w:t>
            </w:r>
          </w:p>
        </w:tc>
        <w:tc>
          <w:tcPr>
            <w:tcW w:w="0" w:type="auto"/>
            <w:tcBorders>
              <w:top w:val="single" w:color="000000" w:sz="6" w:space="0"/>
              <w:left w:val="single" w:color="000000" w:sz="6" w:space="0"/>
              <w:bottom w:val="single" w:color="000000" w:sz="6" w:space="0"/>
              <w:right w:val="single" w:color="000000" w:sz="6" w:space="0"/>
            </w:tcBorders>
            <w:tcMar>
              <w:top w:w="120" w:type="dxa"/>
              <w:left w:w="120" w:type="dxa"/>
              <w:bottom w:w="120" w:type="dxa"/>
              <w:right w:w="120" w:type="dxa"/>
            </w:tcMar>
            <w:vAlign w:val="center"/>
          </w:tcPr>
          <w:p w14:paraId="400F26D5">
            <w:pPr>
              <w:pStyle w:val="82"/>
            </w:pPr>
            <w:r>
              <w:t>kWh, BCD码</w:t>
            </w:r>
          </w:p>
        </w:tc>
        <w:tc>
          <w:tcPr>
            <w:tcW w:w="0" w:type="auto"/>
            <w:tcBorders>
              <w:top w:val="single" w:color="000000" w:sz="6" w:space="0"/>
              <w:left w:val="single" w:color="000000" w:sz="6" w:space="0"/>
              <w:bottom w:val="single" w:color="000000" w:sz="6" w:space="0"/>
              <w:right w:val="single" w:color="000000" w:sz="6" w:space="0"/>
            </w:tcBorders>
            <w:tcMar>
              <w:top w:w="120" w:type="dxa"/>
              <w:left w:w="120" w:type="dxa"/>
              <w:bottom w:w="120" w:type="dxa"/>
              <w:right w:w="120" w:type="dxa"/>
            </w:tcMar>
            <w:vAlign w:val="center"/>
          </w:tcPr>
          <w:p w14:paraId="205181FD">
            <w:pPr>
              <w:pStyle w:val="82"/>
            </w:pPr>
            <w:r>
              <w:t>(本次充电)正向有功总电能</w:t>
            </w:r>
          </w:p>
        </w:tc>
      </w:tr>
      <w:tr w14:paraId="11048A65">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120" w:type="dxa"/>
              <w:left w:w="120" w:type="dxa"/>
              <w:bottom w:w="120" w:type="dxa"/>
              <w:right w:w="120" w:type="dxa"/>
            </w:tcMar>
            <w:vAlign w:val="center"/>
          </w:tcPr>
          <w:p w14:paraId="4B1658FD">
            <w:pPr>
              <w:pStyle w:val="82"/>
            </w:pPr>
            <w:r>
              <w:t>00</w:t>
            </w:r>
          </w:p>
        </w:tc>
        <w:tc>
          <w:tcPr>
            <w:tcW w:w="0" w:type="auto"/>
            <w:tcBorders>
              <w:top w:val="single" w:color="000000" w:sz="6" w:space="0"/>
              <w:left w:val="single" w:color="000000" w:sz="6" w:space="0"/>
              <w:bottom w:val="single" w:color="000000" w:sz="6" w:space="0"/>
              <w:right w:val="single" w:color="000000" w:sz="6" w:space="0"/>
            </w:tcBorders>
            <w:tcMar>
              <w:top w:w="120" w:type="dxa"/>
              <w:left w:w="120" w:type="dxa"/>
              <w:bottom w:w="120" w:type="dxa"/>
              <w:right w:w="120" w:type="dxa"/>
            </w:tcMar>
            <w:vAlign w:val="center"/>
          </w:tcPr>
          <w:p w14:paraId="3360CD22">
            <w:pPr>
              <w:pStyle w:val="82"/>
            </w:pPr>
            <w:r>
              <w:t>60</w:t>
            </w:r>
          </w:p>
        </w:tc>
        <w:tc>
          <w:tcPr>
            <w:tcW w:w="0" w:type="auto"/>
            <w:tcBorders>
              <w:top w:val="single" w:color="000000" w:sz="6" w:space="0"/>
              <w:left w:val="single" w:color="000000" w:sz="6" w:space="0"/>
              <w:bottom w:val="single" w:color="000000" w:sz="6" w:space="0"/>
              <w:right w:val="single" w:color="000000" w:sz="6" w:space="0"/>
            </w:tcBorders>
            <w:tcMar>
              <w:top w:w="120" w:type="dxa"/>
              <w:left w:w="120" w:type="dxa"/>
              <w:bottom w:w="120" w:type="dxa"/>
              <w:right w:w="120" w:type="dxa"/>
            </w:tcMar>
            <w:vAlign w:val="center"/>
          </w:tcPr>
          <w:p w14:paraId="23AA686C">
            <w:pPr>
              <w:pStyle w:val="82"/>
            </w:pPr>
            <w:r>
              <w:t>01</w:t>
            </w:r>
          </w:p>
        </w:tc>
        <w:tc>
          <w:tcPr>
            <w:tcW w:w="0" w:type="auto"/>
            <w:tcBorders>
              <w:top w:val="single" w:color="000000" w:sz="6" w:space="0"/>
              <w:left w:val="single" w:color="000000" w:sz="6" w:space="0"/>
              <w:bottom w:val="single" w:color="000000" w:sz="6" w:space="0"/>
              <w:right w:val="single" w:color="000000" w:sz="6" w:space="0"/>
            </w:tcBorders>
            <w:tcMar>
              <w:top w:w="120" w:type="dxa"/>
              <w:left w:w="120" w:type="dxa"/>
              <w:bottom w:w="120" w:type="dxa"/>
              <w:right w:w="120" w:type="dxa"/>
            </w:tcMar>
            <w:vAlign w:val="center"/>
          </w:tcPr>
          <w:p w14:paraId="5B74AD42">
            <w:pPr>
              <w:pStyle w:val="82"/>
            </w:pPr>
            <w:r>
              <w:t>00</w:t>
            </w:r>
          </w:p>
        </w:tc>
        <w:tc>
          <w:tcPr>
            <w:tcW w:w="0" w:type="auto"/>
            <w:tcBorders>
              <w:top w:val="single" w:color="000000" w:sz="6" w:space="0"/>
              <w:left w:val="single" w:color="000000" w:sz="6" w:space="0"/>
              <w:bottom w:val="single" w:color="000000" w:sz="6" w:space="0"/>
              <w:right w:val="single" w:color="000000" w:sz="6" w:space="0"/>
            </w:tcBorders>
            <w:tcMar>
              <w:top w:w="120" w:type="dxa"/>
              <w:left w:w="120" w:type="dxa"/>
              <w:bottom w:w="120" w:type="dxa"/>
              <w:right w:w="120" w:type="dxa"/>
            </w:tcMar>
            <w:vAlign w:val="center"/>
          </w:tcPr>
          <w:p w14:paraId="26279565">
            <w:pPr>
              <w:pStyle w:val="82"/>
            </w:pPr>
            <w:r>
              <w:t>XXXXXXXX.XXXX</w:t>
            </w:r>
          </w:p>
        </w:tc>
        <w:tc>
          <w:tcPr>
            <w:tcW w:w="0" w:type="auto"/>
            <w:tcBorders>
              <w:top w:val="single" w:color="000000" w:sz="6" w:space="0"/>
              <w:left w:val="single" w:color="000000" w:sz="6" w:space="0"/>
              <w:bottom w:val="single" w:color="000000" w:sz="6" w:space="0"/>
              <w:right w:val="single" w:color="000000" w:sz="6" w:space="0"/>
            </w:tcBorders>
            <w:tcMar>
              <w:top w:w="120" w:type="dxa"/>
              <w:left w:w="120" w:type="dxa"/>
              <w:bottom w:w="120" w:type="dxa"/>
              <w:right w:w="120" w:type="dxa"/>
            </w:tcMar>
            <w:vAlign w:val="center"/>
          </w:tcPr>
          <w:p w14:paraId="579B040E">
            <w:pPr>
              <w:pStyle w:val="82"/>
            </w:pPr>
            <w:r>
              <w:t>5</w:t>
            </w:r>
          </w:p>
        </w:tc>
        <w:tc>
          <w:tcPr>
            <w:tcW w:w="0" w:type="auto"/>
            <w:tcBorders>
              <w:top w:val="single" w:color="000000" w:sz="6" w:space="0"/>
              <w:left w:val="single" w:color="000000" w:sz="6" w:space="0"/>
              <w:bottom w:val="single" w:color="000000" w:sz="6" w:space="0"/>
              <w:right w:val="single" w:color="000000" w:sz="6" w:space="0"/>
            </w:tcBorders>
            <w:tcMar>
              <w:top w:w="120" w:type="dxa"/>
              <w:left w:w="120" w:type="dxa"/>
              <w:bottom w:w="120" w:type="dxa"/>
              <w:right w:w="120" w:type="dxa"/>
            </w:tcMar>
            <w:vAlign w:val="center"/>
          </w:tcPr>
          <w:p w14:paraId="70F7680C">
            <w:pPr>
              <w:pStyle w:val="82"/>
            </w:pPr>
            <w:r>
              <w:t>kWh, BCD码</w:t>
            </w:r>
          </w:p>
        </w:tc>
        <w:tc>
          <w:tcPr>
            <w:tcW w:w="0" w:type="auto"/>
            <w:tcBorders>
              <w:top w:val="single" w:color="000000" w:sz="6" w:space="0"/>
              <w:left w:val="single" w:color="000000" w:sz="6" w:space="0"/>
              <w:bottom w:val="single" w:color="000000" w:sz="6" w:space="0"/>
              <w:right w:val="single" w:color="000000" w:sz="6" w:space="0"/>
            </w:tcBorders>
            <w:tcMar>
              <w:top w:w="120" w:type="dxa"/>
              <w:left w:w="120" w:type="dxa"/>
              <w:bottom w:w="120" w:type="dxa"/>
              <w:right w:w="120" w:type="dxa"/>
            </w:tcMar>
            <w:vAlign w:val="center"/>
          </w:tcPr>
          <w:p w14:paraId="5E5F81D4">
            <w:pPr>
              <w:pStyle w:val="82"/>
            </w:pPr>
            <w:r>
              <w:t>(本次充电)正向有功费率1电能</w:t>
            </w:r>
          </w:p>
        </w:tc>
      </w:tr>
      <w:tr w14:paraId="055C864B">
        <w:tblPrEx>
          <w:tblCellMar>
            <w:top w:w="15" w:type="dxa"/>
            <w:left w:w="15" w:type="dxa"/>
            <w:bottom w:w="15" w:type="dxa"/>
            <w:right w:w="15" w:type="dxa"/>
          </w:tblCellMar>
        </w:tblPrEx>
        <w:tc>
          <w:tcPr>
            <w:tcW w:w="0" w:type="auto"/>
            <w:gridSpan w:val="4"/>
            <w:tcBorders>
              <w:top w:val="single" w:color="000000" w:sz="6" w:space="0"/>
              <w:left w:val="single" w:color="000000" w:sz="6" w:space="0"/>
              <w:bottom w:val="single" w:color="000000" w:sz="6" w:space="0"/>
              <w:right w:val="single" w:color="000000" w:sz="6" w:space="0"/>
            </w:tcBorders>
            <w:tcMar>
              <w:top w:w="120" w:type="dxa"/>
              <w:left w:w="120" w:type="dxa"/>
              <w:bottom w:w="120" w:type="dxa"/>
              <w:right w:w="120" w:type="dxa"/>
            </w:tcMar>
            <w:vAlign w:val="center"/>
          </w:tcPr>
          <w:p w14:paraId="763DF923">
            <w:pPr>
              <w:pStyle w:val="82"/>
            </w:pPr>
            <w:r>
              <w:t>...</w:t>
            </w:r>
          </w:p>
        </w:tc>
        <w:tc>
          <w:tcPr>
            <w:tcW w:w="0" w:type="auto"/>
            <w:gridSpan w:val="4"/>
            <w:tcBorders>
              <w:top w:val="single" w:color="000000" w:sz="6" w:space="0"/>
              <w:left w:val="single" w:color="000000" w:sz="6" w:space="0"/>
              <w:bottom w:val="single" w:color="000000" w:sz="6" w:space="0"/>
              <w:right w:val="single" w:color="000000" w:sz="6" w:space="0"/>
            </w:tcBorders>
            <w:tcMar>
              <w:top w:w="120" w:type="dxa"/>
              <w:left w:w="120" w:type="dxa"/>
              <w:bottom w:w="120" w:type="dxa"/>
              <w:right w:w="120" w:type="dxa"/>
            </w:tcMar>
            <w:vAlign w:val="center"/>
          </w:tcPr>
          <w:p w14:paraId="428BB99D">
            <w:pPr>
              <w:pStyle w:val="82"/>
            </w:pPr>
            <w:r>
              <w:t>其他费率电能、反向电能等可按需扩展</w:t>
            </w:r>
          </w:p>
        </w:tc>
      </w:tr>
    </w:tbl>
    <w:p w14:paraId="49989EF2">
      <w:r>
        <w:rPr>
          <w:rFonts w:hint="eastAsia"/>
        </w:rPr>
        <w:t>注1：数据标识 E4 0A 00 01 为一个复合数据块，建议包含订单号、起止时间、总电量及各费率电量，作为一个整体进行传输。也可采用分项传输，将各数据项组合成明文。</w:t>
      </w:r>
    </w:p>
    <w:p w14:paraId="6D247F7B">
      <w:pPr>
        <w:sectPr>
          <w:pgSz w:w="11906" w:h="16838"/>
          <w:pgMar w:top="1985" w:right="1134" w:bottom="1418" w:left="1418" w:header="1247" w:footer="1304" w:gutter="0"/>
          <w:pgNumType w:start="1"/>
          <w:cols w:space="720" w:num="1"/>
          <w:docGrid w:type="linesAndChars" w:linePitch="326" w:charSpace="0"/>
        </w:sectPr>
      </w:pPr>
    </w:p>
    <w:p w14:paraId="7F16907D">
      <w:pPr>
        <w:pStyle w:val="2"/>
        <w:numPr>
          <w:ilvl w:val="0"/>
          <w:numId w:val="0"/>
        </w:numPr>
        <w:spacing w:before="163" w:after="163"/>
      </w:pPr>
      <w:r>
        <w:rPr>
          <w:rFonts w:hint="eastAsia"/>
        </w:rPr>
        <w:t>附录B</w:t>
      </w:r>
      <w:r>
        <w:rPr>
          <w:rFonts w:hint="eastAsia"/>
        </w:rPr>
        <w:br w:type="textWrapping"/>
      </w:r>
      <w:r>
        <w:rPr>
          <w:rFonts w:hint="eastAsia"/>
        </w:rPr>
        <w:t>(资料性附录)</w:t>
      </w:r>
      <w:r>
        <w:rPr>
          <w:rFonts w:hint="eastAsia"/>
        </w:rPr>
        <w:br w:type="textWrapping"/>
      </w:r>
      <w:r>
        <w:rPr>
          <w:rFonts w:hint="eastAsia"/>
        </w:rPr>
        <w:t>端到端加密与验签流程示例</w:t>
      </w:r>
    </w:p>
    <w:p w14:paraId="1FB1FECD">
      <w:r>
        <w:rPr>
          <w:rFonts w:hint="eastAsia"/>
        </w:rPr>
        <w:t>本附录以一次充电结算数据为例，演示从数据产生到最终形成加密数据包的全过程。</w:t>
      </w:r>
    </w:p>
    <w:p w14:paraId="0A88CDD3">
      <w:pPr>
        <w:pStyle w:val="4"/>
        <w:numPr>
          <w:ilvl w:val="0"/>
          <w:numId w:val="0"/>
        </w:numPr>
      </w:pPr>
      <w:r>
        <w:rPr>
          <w:rFonts w:hint="eastAsia"/>
        </w:rPr>
        <w:t>B.1 准备原始数据 (明文)</w:t>
      </w:r>
    </w:p>
    <w:p w14:paraId="3D4CD8D7">
      <w:r>
        <w:rPr>
          <w:rFonts w:hint="eastAsia"/>
        </w:rPr>
        <w:t>假设充电结束，电能计量模块需上报如下结算信息（依据附录A）：</w:t>
      </w:r>
    </w:p>
    <w:p w14:paraId="48278AFE">
      <w:pPr>
        <w:numPr>
          <w:ilvl w:val="0"/>
          <w:numId w:val="10"/>
        </w:numPr>
        <w:ind w:firstLine="482"/>
      </w:pPr>
      <w:r>
        <w:rPr>
          <w:rFonts w:hint="eastAsia"/>
          <w:b/>
          <w:bCs/>
        </w:rPr>
        <w:t>充电开始时间:</w:t>
      </w:r>
      <w:r>
        <w:rPr>
          <w:rFonts w:hint="eastAsia"/>
        </w:rPr>
        <w:t> 2024-05-10 14:00:00 → </w:t>
      </w:r>
      <w:r>
        <w:t>240510140000</w:t>
      </w:r>
      <w:r>
        <w:rPr>
          <w:rFonts w:hint="eastAsia"/>
        </w:rPr>
        <w:t> (BCD)</w:t>
      </w:r>
    </w:p>
    <w:p w14:paraId="300C18C7">
      <w:pPr>
        <w:numPr>
          <w:ilvl w:val="0"/>
          <w:numId w:val="10"/>
        </w:numPr>
        <w:ind w:firstLine="482"/>
      </w:pPr>
      <w:r>
        <w:rPr>
          <w:rFonts w:hint="eastAsia"/>
          <w:b/>
          <w:bCs/>
        </w:rPr>
        <w:t>充电结束时间:</w:t>
      </w:r>
      <w:r>
        <w:rPr>
          <w:rFonts w:hint="eastAsia"/>
        </w:rPr>
        <w:t> 2024-05-10 14:30:00 → </w:t>
      </w:r>
      <w:r>
        <w:t>240510143000</w:t>
      </w:r>
      <w:r>
        <w:rPr>
          <w:rFonts w:hint="eastAsia"/>
        </w:rPr>
        <w:t> (BCD)</w:t>
      </w:r>
    </w:p>
    <w:p w14:paraId="5B1F5059">
      <w:pPr>
        <w:numPr>
          <w:ilvl w:val="0"/>
          <w:numId w:val="10"/>
        </w:numPr>
        <w:ind w:firstLine="482"/>
      </w:pPr>
      <w:r>
        <w:rPr>
          <w:rFonts w:hint="eastAsia"/>
          <w:b/>
          <w:bCs/>
        </w:rPr>
        <w:t>正向有功总电能:</w:t>
      </w:r>
      <w:r>
        <w:rPr>
          <w:rFonts w:hint="eastAsia"/>
        </w:rPr>
        <w:t> 12.3456 kWh → </w:t>
      </w:r>
      <w:r>
        <w:t>123456</w:t>
      </w:r>
      <w:r>
        <w:rPr>
          <w:rFonts w:hint="eastAsia"/>
        </w:rPr>
        <w:t> (BCD, 4位小数)</w:t>
      </w:r>
    </w:p>
    <w:p w14:paraId="5B5A602A">
      <w:r>
        <w:rPr>
          <w:rFonts w:hint="eastAsia"/>
        </w:rPr>
        <w:t>组合成明文数据流 </w:t>
      </w:r>
      <w:r>
        <w:t>Plaintext</w:t>
      </w:r>
      <w:r>
        <w:rPr>
          <w:rFonts w:hint="eastAsia"/>
        </w:rPr>
        <w:t> (HEX): </w:t>
      </w:r>
      <w:r>
        <w:t>C0010001 240510140000 C0010002 240510143000 00600000 123456</w:t>
      </w:r>
      <w:r>
        <w:rPr>
          <w:rFonts w:hint="eastAsia"/>
        </w:rPr>
        <w:t> ... (此处为示意)</w:t>
      </w:r>
    </w:p>
    <w:p w14:paraId="3528126F">
      <w:pPr>
        <w:pStyle w:val="4"/>
        <w:numPr>
          <w:ilvl w:val="0"/>
          <w:numId w:val="0"/>
        </w:numPr>
      </w:pPr>
      <w:r>
        <w:rPr>
          <w:rFonts w:hint="eastAsia"/>
        </w:rPr>
        <w:t>B.2 数据加密 (SM4)</w:t>
      </w:r>
    </w:p>
    <w:p w14:paraId="5D580ABB">
      <w:r>
        <w:rPr>
          <w:rFonts w:hint="eastAsia"/>
        </w:rPr>
        <w:t>使用预共享或协商的128位SM4会话密钥对 </w:t>
      </w:r>
      <w:r>
        <w:t>Plaintext</w:t>
      </w:r>
      <w:r>
        <w:rPr>
          <w:rFonts w:hint="eastAsia"/>
        </w:rPr>
        <w:t> 进行加密。</w:t>
      </w:r>
    </w:p>
    <w:p w14:paraId="15A0A30B">
      <w:pPr>
        <w:numPr>
          <w:ilvl w:val="0"/>
          <w:numId w:val="11"/>
        </w:numPr>
        <w:ind w:firstLine="482"/>
      </w:pPr>
      <w:r>
        <w:rPr>
          <w:rFonts w:hint="eastAsia"/>
          <w:b/>
          <w:bCs/>
        </w:rPr>
        <w:t>明文 </w:t>
      </w:r>
      <w:r>
        <w:rPr>
          <w:b/>
          <w:bCs/>
        </w:rPr>
        <w:t>Plaintext</w:t>
      </w:r>
      <w:r>
        <w:rPr>
          <w:rFonts w:hint="eastAsia"/>
          <w:b/>
          <w:bCs/>
        </w:rPr>
        <w:t>:</w:t>
      </w:r>
      <w:r>
        <w:rPr>
          <w:rFonts w:hint="eastAsia"/>
        </w:rPr>
        <w:t> (如上)</w:t>
      </w:r>
    </w:p>
    <w:p w14:paraId="4E9BA12E">
      <w:pPr>
        <w:numPr>
          <w:ilvl w:val="0"/>
          <w:numId w:val="11"/>
        </w:numPr>
        <w:ind w:firstLine="482"/>
      </w:pPr>
      <w:r>
        <w:rPr>
          <w:rFonts w:hint="eastAsia"/>
          <w:b/>
          <w:bCs/>
        </w:rPr>
        <w:t>SM4密钥 </w:t>
      </w:r>
      <w:r>
        <w:rPr>
          <w:b/>
          <w:bCs/>
        </w:rPr>
        <w:t>Key_SM4</w:t>
      </w:r>
      <w:r>
        <w:rPr>
          <w:rFonts w:hint="eastAsia"/>
          <w:b/>
          <w:bCs/>
        </w:rPr>
        <w:t>:</w:t>
      </w:r>
      <w:r>
        <w:rPr>
          <w:rFonts w:hint="eastAsia"/>
        </w:rPr>
        <w:t> (16字节, 示例值)</w:t>
      </w:r>
    </w:p>
    <w:p w14:paraId="438346CA">
      <w:pPr>
        <w:numPr>
          <w:ilvl w:val="0"/>
          <w:numId w:val="11"/>
        </w:numPr>
        <w:ind w:firstLine="482"/>
      </w:pPr>
      <w:r>
        <w:rPr>
          <w:rFonts w:hint="eastAsia"/>
          <w:b/>
          <w:bCs/>
        </w:rPr>
        <w:t>加密模式:</w:t>
      </w:r>
      <w:r>
        <w:rPr>
          <w:rFonts w:hint="eastAsia"/>
        </w:rPr>
        <w:t> CBC (需初始向量 IV)</w:t>
      </w:r>
    </w:p>
    <w:p w14:paraId="1E3F8E7F">
      <w:r>
        <w:rPr>
          <w:rFonts w:hint="eastAsia"/>
        </w:rPr>
        <w:t>加密后得到密文 </w:t>
      </w:r>
      <w:r>
        <w:t>EncryptedData</w:t>
      </w:r>
      <w:r>
        <w:rPr>
          <w:rFonts w:hint="eastAsia"/>
        </w:rPr>
        <w:t>。</w:t>
      </w:r>
    </w:p>
    <w:p w14:paraId="074A732F">
      <w:pPr>
        <w:pStyle w:val="4"/>
        <w:numPr>
          <w:ilvl w:val="0"/>
          <w:numId w:val="0"/>
        </w:numPr>
      </w:pPr>
      <w:r>
        <w:rPr>
          <w:rFonts w:hint="eastAsia"/>
        </w:rPr>
        <w:t>B.3 构造待签名数据</w:t>
      </w:r>
    </w:p>
    <w:p w14:paraId="4E318BC5">
      <w:r>
        <w:rPr>
          <w:rFonts w:hint="eastAsia"/>
        </w:rPr>
        <w:t>将数据包中的关键字段按顺序拼接，形成待签名的数据原文。</w:t>
      </w:r>
    </w:p>
    <w:p w14:paraId="5DCBD929">
      <w:pPr>
        <w:numPr>
          <w:ilvl w:val="0"/>
          <w:numId w:val="12"/>
        </w:numPr>
        <w:ind w:firstLine="482"/>
      </w:pPr>
      <w:r>
        <w:rPr>
          <w:rFonts w:hint="eastAsia"/>
          <w:b/>
          <w:bCs/>
        </w:rPr>
        <w:t>MeterID:</w:t>
      </w:r>
      <w:r>
        <w:rPr>
          <w:rFonts w:hint="eastAsia"/>
        </w:rPr>
        <w:t> </w:t>
      </w:r>
      <w:r>
        <w:t>1122334455667788</w:t>
      </w:r>
      <w:r>
        <w:rPr>
          <w:rFonts w:hint="eastAsia"/>
        </w:rPr>
        <w:t> (8字节, 示例)</w:t>
      </w:r>
    </w:p>
    <w:p w14:paraId="7056D681">
      <w:pPr>
        <w:numPr>
          <w:ilvl w:val="0"/>
          <w:numId w:val="12"/>
        </w:numPr>
        <w:ind w:firstLine="482"/>
      </w:pPr>
      <w:r>
        <w:rPr>
          <w:rFonts w:hint="eastAsia"/>
          <w:b/>
          <w:bCs/>
        </w:rPr>
        <w:t>Timestamp:</w:t>
      </w:r>
      <w:r>
        <w:rPr>
          <w:rFonts w:hint="eastAsia"/>
        </w:rPr>
        <w:t> </w:t>
      </w:r>
      <w:r>
        <w:t>0x663E02A0</w:t>
      </w:r>
      <w:r>
        <w:rPr>
          <w:rFonts w:hint="eastAsia"/>
        </w:rPr>
        <w:t> (Unix时间戳, 4字节, 示例)</w:t>
      </w:r>
    </w:p>
    <w:p w14:paraId="4E70002F">
      <w:pPr>
        <w:numPr>
          <w:ilvl w:val="0"/>
          <w:numId w:val="12"/>
        </w:numPr>
        <w:ind w:firstLine="482"/>
      </w:pPr>
      <w:r>
        <w:rPr>
          <w:rFonts w:hint="eastAsia"/>
          <w:b/>
          <w:bCs/>
        </w:rPr>
        <w:t>EncryptedData:</w:t>
      </w:r>
      <w:r>
        <w:rPr>
          <w:rFonts w:hint="eastAsia"/>
        </w:rPr>
        <w:t> (B.2中得到的密文)</w:t>
      </w:r>
    </w:p>
    <w:p w14:paraId="39C3E583">
      <w:r>
        <w:t>Data_to_be_Signed = MeterID || Timestamp || EncryptedData</w:t>
      </w:r>
    </w:p>
    <w:p w14:paraId="2B48B5A6">
      <w:pPr>
        <w:pStyle w:val="4"/>
        <w:numPr>
          <w:ilvl w:val="0"/>
          <w:numId w:val="0"/>
        </w:numPr>
      </w:pPr>
      <w:r>
        <w:rPr>
          <w:rFonts w:hint="eastAsia"/>
        </w:rPr>
        <w:t>B.4 数字签名 (SM2/SM3)</w:t>
      </w:r>
    </w:p>
    <w:p w14:paraId="1F6D59BA">
      <w:r>
        <w:rPr>
          <w:rFonts w:hint="eastAsia"/>
        </w:rPr>
        <w:t>1. 使用SM3算法计算 </w:t>
      </w:r>
      <w:r>
        <w:t>Data_to_be_Signed</w:t>
      </w:r>
      <w:r>
        <w:rPr>
          <w:rFonts w:hint="eastAsia"/>
        </w:rPr>
        <w:t> 的哈希摘要：</w:t>
      </w:r>
      <w:r>
        <w:t>Hash = SM3(Data_to_be_Signed)</w:t>
      </w:r>
    </w:p>
    <w:p w14:paraId="411805CB">
      <w:r>
        <w:rPr>
          <w:rFonts w:hint="eastAsia"/>
        </w:rPr>
        <w:t>2. 使用电能计量模块内置的SM2私钥对该哈希摘要进行签名：</w:t>
      </w:r>
      <w:r>
        <w:t>Signature = SM2_Sign(Hash, PrivateKey_SM2)</w:t>
      </w:r>
    </w:p>
    <w:p w14:paraId="51A312B0">
      <w:r>
        <w:rPr>
          <w:rFonts w:hint="eastAsia"/>
        </w:rPr>
        <w:t>得到的 </w:t>
      </w:r>
      <w:r>
        <w:t>Signature</w:t>
      </w:r>
      <w:r>
        <w:rPr>
          <w:rFonts w:hint="eastAsia"/>
        </w:rPr>
        <w:t> 是一个64字节的数据。</w:t>
      </w:r>
    </w:p>
    <w:p w14:paraId="7810D0E3">
      <w:pPr>
        <w:pStyle w:val="4"/>
        <w:numPr>
          <w:ilvl w:val="0"/>
          <w:numId w:val="0"/>
        </w:numPr>
      </w:pPr>
      <w:r>
        <w:rPr>
          <w:rFonts w:hint="eastAsia"/>
        </w:rPr>
        <w:t>B.5 封装完整数据包</w:t>
      </w:r>
    </w:p>
    <w:p w14:paraId="382A8455">
      <w:r>
        <w:rPr>
          <w:rFonts w:hint="eastAsia"/>
        </w:rPr>
        <w:t>将所有字段组装成符合表1规范的数据包，并计算CRC校验码，形成最终待发送的二进制数据帧。</w:t>
      </w:r>
    </w:p>
    <w:p w14:paraId="5223920F">
      <w:pPr>
        <w:pStyle w:val="4"/>
        <w:numPr>
          <w:ilvl w:val="0"/>
          <w:numId w:val="0"/>
        </w:numPr>
      </w:pPr>
      <w:r>
        <w:rPr>
          <w:rFonts w:hint="eastAsia"/>
        </w:rPr>
        <w:t>B.6 接收端处理流程</w:t>
      </w:r>
    </w:p>
    <w:p w14:paraId="39A739D8">
      <w:r>
        <w:rPr>
          <w:rFonts w:hint="eastAsia"/>
        </w:rPr>
        <w:t>监管平台接收到数据后，执行相反的过程：</w:t>
      </w:r>
    </w:p>
    <w:p w14:paraId="5F62D8A0">
      <w:pPr>
        <w:numPr>
          <w:ilvl w:val="0"/>
          <w:numId w:val="13"/>
        </w:numPr>
        <w:ind w:firstLine="480"/>
      </w:pPr>
      <w:r>
        <w:rPr>
          <w:rFonts w:hint="eastAsia"/>
        </w:rPr>
        <w:t>校验CRC。</w:t>
      </w:r>
    </w:p>
    <w:p w14:paraId="6E1D6510">
      <w:pPr>
        <w:numPr>
          <w:ilvl w:val="0"/>
          <w:numId w:val="13"/>
        </w:numPr>
        <w:ind w:firstLine="480"/>
      </w:pPr>
      <w:r>
        <w:rPr>
          <w:rFonts w:hint="eastAsia"/>
        </w:rPr>
        <w:t>解析出 </w:t>
      </w:r>
      <w:r>
        <w:t>MeterID</w:t>
      </w:r>
      <w:r>
        <w:rPr>
          <w:rFonts w:hint="eastAsia"/>
        </w:rPr>
        <w:t>, </w:t>
      </w:r>
      <w:r>
        <w:t>Timestamp</w:t>
      </w:r>
      <w:r>
        <w:rPr>
          <w:rFonts w:hint="eastAsia"/>
        </w:rPr>
        <w:t>, </w:t>
      </w:r>
      <w:r>
        <w:t>EncryptedData</w:t>
      </w:r>
      <w:r>
        <w:rPr>
          <w:rFonts w:hint="eastAsia"/>
        </w:rPr>
        <w:t>, </w:t>
      </w:r>
      <w:r>
        <w:t>Signature</w:t>
      </w:r>
      <w:r>
        <w:rPr>
          <w:rFonts w:hint="eastAsia"/>
        </w:rPr>
        <w:t>。</w:t>
      </w:r>
    </w:p>
    <w:p w14:paraId="78BB0913">
      <w:pPr>
        <w:numPr>
          <w:ilvl w:val="0"/>
          <w:numId w:val="13"/>
        </w:numPr>
        <w:ind w:firstLine="480"/>
      </w:pPr>
      <w:r>
        <w:rPr>
          <w:rFonts w:hint="eastAsia"/>
        </w:rPr>
        <w:t>使用相同的规则重新构造 </w:t>
      </w:r>
      <w:r>
        <w:t>Data_to_be_Signed</w:t>
      </w:r>
      <w:r>
        <w:rPr>
          <w:rFonts w:hint="eastAsia"/>
        </w:rPr>
        <w:t>。</w:t>
      </w:r>
    </w:p>
    <w:p w14:paraId="3A581E41">
      <w:pPr>
        <w:numPr>
          <w:ilvl w:val="0"/>
          <w:numId w:val="13"/>
        </w:numPr>
        <w:ind w:firstLine="480"/>
      </w:pPr>
      <w:r>
        <w:rPr>
          <w:rFonts w:hint="eastAsia"/>
        </w:rPr>
        <w:t>从证书库中找到 </w:t>
      </w:r>
      <w:r>
        <w:t>MeterID</w:t>
      </w:r>
      <w:r>
        <w:rPr>
          <w:rFonts w:hint="eastAsia"/>
        </w:rPr>
        <w:t> 对应的SM2公钥，执行验签操作：</w:t>
      </w:r>
      <w:r>
        <w:t>SM2_Verify(Hash, Signature, PublicKey_SM2)</w:t>
      </w:r>
      <w:r>
        <w:rPr>
          <w:rFonts w:hint="eastAsia"/>
        </w:rPr>
        <w:t>。</w:t>
      </w:r>
    </w:p>
    <w:p w14:paraId="618D834C">
      <w:pPr>
        <w:numPr>
          <w:ilvl w:val="0"/>
          <w:numId w:val="13"/>
        </w:numPr>
        <w:ind w:firstLine="480"/>
      </w:pPr>
      <w:r>
        <w:rPr>
          <w:rFonts w:hint="eastAsia"/>
        </w:rPr>
        <w:t>验签成功后，使用SM4会话密钥解密 </w:t>
      </w:r>
      <w:r>
        <w:t>EncryptedData</w:t>
      </w:r>
      <w:r>
        <w:rPr>
          <w:rFonts w:hint="eastAsia"/>
        </w:rPr>
        <w:t>，还原出原始计量数据。</w:t>
      </w:r>
    </w:p>
    <w:p w14:paraId="13E1296D">
      <w:pPr>
        <w:ind w:left="720" w:firstLine="0" w:firstLineChars="0"/>
        <w:sectPr>
          <w:pgSz w:w="11906" w:h="16838"/>
          <w:pgMar w:top="1985" w:right="1134" w:bottom="1418" w:left="1418" w:header="1247" w:footer="1304" w:gutter="0"/>
          <w:pgNumType w:start="1"/>
          <w:cols w:space="720" w:num="1"/>
          <w:docGrid w:type="linesAndChars" w:linePitch="326" w:charSpace="0"/>
        </w:sectPr>
      </w:pPr>
    </w:p>
    <w:p w14:paraId="0CF2D2BA">
      <w:pPr>
        <w:pStyle w:val="2"/>
        <w:numPr>
          <w:ilvl w:val="0"/>
          <w:numId w:val="0"/>
        </w:numPr>
        <w:spacing w:before="163" w:after="163"/>
      </w:pPr>
      <w:r>
        <w:rPr>
          <w:rFonts w:hint="eastAsia"/>
        </w:rPr>
        <w:t>附录C</w:t>
      </w:r>
      <w:r>
        <w:rPr>
          <w:rFonts w:hint="eastAsia"/>
        </w:rPr>
        <w:br w:type="textWrapping"/>
      </w:r>
      <w:r>
        <w:rPr>
          <w:rFonts w:hint="eastAsia"/>
        </w:rPr>
        <w:t>(资料性附录)</w:t>
      </w:r>
      <w:r>
        <w:rPr>
          <w:rFonts w:hint="eastAsia"/>
        </w:rPr>
        <w:br w:type="textWrapping"/>
      </w:r>
      <w:r>
        <w:rPr>
          <w:rFonts w:hint="eastAsia"/>
        </w:rPr>
        <w:t>加密计量数据包的透传封装示例</w:t>
      </w:r>
    </w:p>
    <w:p w14:paraId="5A8AF46C">
      <w:r>
        <w:rPr>
          <w:rFonts w:hint="eastAsia"/>
        </w:rPr>
        <w:t>本附录展示附录B生成的二进制加密数据包，在通过充电机上报至运营平台时，如何被封装在JSON报文中进行透传。</w:t>
      </w:r>
    </w:p>
    <w:p w14:paraId="1FCFBEAF">
      <w:pPr>
        <w:pStyle w:val="4"/>
        <w:numPr>
          <w:ilvl w:val="0"/>
          <w:numId w:val="0"/>
        </w:numPr>
      </w:pPr>
      <w:r>
        <w:rPr>
          <w:rFonts w:hint="eastAsia"/>
        </w:rPr>
        <w:t>C.1 充电桩至运营平台</w:t>
      </w:r>
    </w:p>
    <w:p w14:paraId="7FD3052E">
      <w:r>
        <w:rPr>
          <w:rFonts w:hint="eastAsia"/>
        </w:rPr>
        <w:t>充电桩将从电能计量模块收到的完整二进制加密数据包（从</w:t>
      </w:r>
      <w:r>
        <w:t>帧头</w:t>
      </w:r>
      <w:r>
        <w:rPr>
          <w:rFonts w:hint="eastAsia"/>
        </w:rPr>
        <w:t>到</w:t>
      </w:r>
      <w:r>
        <w:t>CRC</w:t>
      </w:r>
      <w:r>
        <w:rPr>
          <w:rFonts w:hint="eastAsia"/>
        </w:rPr>
        <w:t>）进行Base64编码，然后封装在一个JSON对象中，通过HTTPS POST请求发送给运营平台。</w:t>
      </w:r>
    </w:p>
    <w:p w14:paraId="5D7AAC19">
      <w:pPr>
        <w:ind w:firstLine="482"/>
      </w:pPr>
      <w:r>
        <w:rPr>
          <w:rFonts w:hint="eastAsia"/>
          <w:b/>
          <w:bCs/>
        </w:rPr>
        <w:t>JSON报文示例：</w:t>
      </w:r>
    </w:p>
    <w:p w14:paraId="4629149F">
      <w:r>
        <w:t>{</w:t>
      </w:r>
    </w:p>
    <w:p w14:paraId="3108F3ED">
      <w:r>
        <w:t xml:space="preserve">  "chargerID": "MA1B2C3D4E5F67890",</w:t>
      </w:r>
    </w:p>
    <w:p w14:paraId="3F828E9C">
      <w:r>
        <w:t xml:space="preserve">  "reportTime": "2024-05-10T14:30:15Z",</w:t>
      </w:r>
    </w:p>
    <w:p w14:paraId="0EA5C367">
      <w:r>
        <w:t xml:space="preserve">  "dataType": "MeteringSettlement",</w:t>
      </w:r>
    </w:p>
    <w:p w14:paraId="0845F9E6">
      <w:r>
        <w:t xml:space="preserve">  "meterData": "rv7+...Base64EncodedPacket...A9D=="</w:t>
      </w:r>
    </w:p>
    <w:p w14:paraId="7F9097DC">
      <w:r>
        <w:t>}</w:t>
      </w:r>
    </w:p>
    <w:p w14:paraId="691ED2AC">
      <w:r>
        <w:rPr>
          <w:rFonts w:hint="eastAsia"/>
        </w:rPr>
        <w:t>其中：</w:t>
      </w:r>
    </w:p>
    <w:p w14:paraId="5E850525">
      <w:pPr>
        <w:numPr>
          <w:ilvl w:val="0"/>
          <w:numId w:val="14"/>
        </w:numPr>
        <w:ind w:firstLine="480"/>
      </w:pPr>
      <w:r>
        <w:t>chargerID</w:t>
      </w:r>
      <w:r>
        <w:rPr>
          <w:rFonts w:hint="eastAsia"/>
        </w:rPr>
        <w:t>: 充电桩的唯一标识。</w:t>
      </w:r>
    </w:p>
    <w:p w14:paraId="30235587">
      <w:pPr>
        <w:numPr>
          <w:ilvl w:val="0"/>
          <w:numId w:val="14"/>
        </w:numPr>
        <w:ind w:firstLine="480"/>
      </w:pPr>
      <w:r>
        <w:t>reportTime</w:t>
      </w:r>
      <w:r>
        <w:rPr>
          <w:rFonts w:hint="eastAsia"/>
        </w:rPr>
        <w:t>: 充电桩上报该数据的时间。</w:t>
      </w:r>
    </w:p>
    <w:p w14:paraId="5694E3E6">
      <w:pPr>
        <w:numPr>
          <w:ilvl w:val="0"/>
          <w:numId w:val="14"/>
        </w:numPr>
        <w:ind w:firstLine="480"/>
      </w:pPr>
      <w:r>
        <w:t>dataType</w:t>
      </w:r>
      <w:r>
        <w:rPr>
          <w:rFonts w:hint="eastAsia"/>
        </w:rPr>
        <w:t>: 数据类型，用于区分实时数据、结算数据等。</w:t>
      </w:r>
    </w:p>
    <w:p w14:paraId="28F7CFD0">
      <w:pPr>
        <w:numPr>
          <w:ilvl w:val="0"/>
          <w:numId w:val="14"/>
        </w:numPr>
        <w:ind w:firstLine="480"/>
      </w:pPr>
      <w:r>
        <w:t>meterData</w:t>
      </w:r>
      <w:r>
        <w:rPr>
          <w:rFonts w:hint="eastAsia"/>
        </w:rPr>
        <w:t>: 经过Base64编码的、完整的加密计量数据包。</w:t>
      </w:r>
    </w:p>
    <w:p w14:paraId="45EC2F8F">
      <w:pPr>
        <w:pStyle w:val="4"/>
        <w:numPr>
          <w:ilvl w:val="0"/>
          <w:numId w:val="0"/>
        </w:numPr>
      </w:pPr>
      <w:r>
        <w:rPr>
          <w:rFonts w:hint="eastAsia"/>
        </w:rPr>
        <w:t>C.2 运营平台至监管平台</w:t>
      </w:r>
    </w:p>
    <w:p w14:paraId="10E9685A">
      <w:r>
        <w:rPr>
          <w:rFonts w:hint="eastAsia"/>
        </w:rPr>
        <w:t>运营平台接收到上述JSON报文后，不对 </w:t>
      </w:r>
      <w:r>
        <w:t>meterData</w:t>
      </w:r>
      <w:r>
        <w:rPr>
          <w:rFonts w:hint="eastAsia"/>
        </w:rPr>
        <w:t> 字段进行任何处理。在与监管平台交互时，遵循 T/CEC 102.4 的规范，将此 </w:t>
      </w:r>
      <w:r>
        <w:t>meterData</w:t>
      </w:r>
      <w:r>
        <w:rPr>
          <w:rFonts w:hint="eastAsia"/>
        </w:rPr>
        <w:t> 或包含该数据的完整JSON对象作为业务数据，放入T/CEC 102.4定义的消息体的 </w:t>
      </w:r>
      <w:r>
        <w:t>Data</w:t>
      </w:r>
      <w:r>
        <w:rPr>
          <w:rFonts w:hint="eastAsia"/>
        </w:rPr>
        <w:t> 字段中（通常也需要加密和签名）。</w:t>
      </w:r>
    </w:p>
    <w:p w14:paraId="655511A5">
      <w:pPr>
        <w:ind w:firstLine="482"/>
      </w:pPr>
      <w:r>
        <w:rPr>
          <w:rFonts w:hint="eastAsia"/>
          <w:b/>
          <w:bCs/>
        </w:rPr>
        <w:t>符合T/CEC 102.4的消息体示例 (简化版)：</w:t>
      </w:r>
    </w:p>
    <w:p w14:paraId="0B92D5B0">
      <w:r>
        <w:t>{</w:t>
      </w:r>
    </w:p>
    <w:p w14:paraId="1B1C8640">
      <w:r>
        <w:t xml:space="preserve">  "OperatorID": "91310000MA1B2C3D4E",</w:t>
      </w:r>
    </w:p>
    <w:p w14:paraId="3056F967">
      <w:r>
        <w:t xml:space="preserve">  "TimeStamp": "20240510143020",</w:t>
      </w:r>
    </w:p>
    <w:p w14:paraId="13AAA815">
      <w:r>
        <w:t xml:space="preserve">  "Seq": "0001",</w:t>
      </w:r>
    </w:p>
    <w:p w14:paraId="14FEE1EF">
      <w:r>
        <w:t xml:space="preserve">  "Data": "{ \"charger_report\": { ... C.1中的JSON内容 ... } }",</w:t>
      </w:r>
    </w:p>
    <w:p w14:paraId="112E3910">
      <w:r>
        <w:t xml:space="preserve">  "Sig": "ABCDEF123456..."</w:t>
      </w:r>
    </w:p>
    <w:p w14:paraId="354FC6DF">
      <w:r>
        <w:t>}</w:t>
      </w:r>
    </w:p>
    <w:p w14:paraId="508D2B5B">
      <w:r>
        <w:rPr>
          <w:rFonts w:hint="eastAsia"/>
        </w:rPr>
        <w:t>通过这种层层封装的方式，确保了最核心的计量数据 </w:t>
      </w:r>
      <w:r>
        <w:t>meterData</w:t>
      </w:r>
      <w:r>
        <w:rPr>
          <w:rFonts w:hint="eastAsia"/>
        </w:rPr>
        <w:t> 始终处于被加密和签名的“黑盒子”状态，实现了安全透传。</w:t>
      </w:r>
    </w:p>
    <w:p w14:paraId="5F623593"/>
    <w:sectPr>
      <w:pgSz w:w="11906" w:h="16838"/>
      <w:pgMar w:top="1985" w:right="1134" w:bottom="1418" w:left="1418" w:header="1247" w:footer="1304" w:gutter="0"/>
      <w:pgNumType w:start="1"/>
      <w:cols w:space="720" w:num="1"/>
      <w:docGrid w:type="linesAndChar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PMingLiU">
    <w:altName w:val="Microsoft JhengHei"/>
    <w:panose1 w:val="02010601000101010101"/>
    <w:charset w:val="88"/>
    <w:family w:val="roman"/>
    <w:pitch w:val="default"/>
    <w:sig w:usb0="00000000" w:usb1="00000000" w:usb2="00000016" w:usb3="00000000" w:csb0="00100001" w:csb1="00000000"/>
  </w:font>
  <w:font w:name="Microsoft JhengHei">
    <w:panose1 w:val="020B0604030504040204"/>
    <w:charset w:val="88"/>
    <w:family w:val="auto"/>
    <w:pitch w:val="default"/>
    <w:sig w:usb0="000002A7" w:usb1="28CF4400" w:usb2="00000016" w:usb3="00000000" w:csb0="00100009"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A23621">
    <w:pPr>
      <w:pStyle w:val="20"/>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56C982">
    <w:pPr>
      <w:pStyle w:val="20"/>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F2BFB6">
    <w:pPr>
      <w:pStyle w:val="20"/>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5B03EC">
    <w:pPr>
      <w:pStyle w:val="20"/>
      <w:ind w:firstLine="360"/>
    </w:pPr>
    <w:r>
      <w:fldChar w:fldCharType="begin"/>
    </w:r>
    <w:r>
      <w:instrText xml:space="preserve">PAGE   \* MERGEFORMAT</w:instrText>
    </w:r>
    <w:r>
      <w:fldChar w:fldCharType="separate"/>
    </w:r>
    <w:r>
      <w:rPr>
        <w:lang w:val="zh-CN"/>
      </w:rPr>
      <w:t>17</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E85ECB">
    <w:pPr>
      <w:pStyle w:val="20"/>
      <w:ind w:firstLine="360"/>
    </w:pPr>
    <w:r>
      <w:fldChar w:fldCharType="begin"/>
    </w:r>
    <w:r>
      <w:instrText xml:space="preserve">PAGE   \* MERGEFORMAT</w:instrText>
    </w:r>
    <w:r>
      <w:fldChar w:fldCharType="separate"/>
    </w:r>
    <w:r>
      <w:rPr>
        <w:lang w:val="zh-CN"/>
      </w:rPr>
      <w:t>18</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73DAB5">
    <w:pPr>
      <w:pStyle w:val="20"/>
      <w:ind w:firstLine="360"/>
    </w:pPr>
    <w:r>
      <w:fldChar w:fldCharType="begin"/>
    </w:r>
    <w:r>
      <w:instrText xml:space="preserve">PAGE   \* MERGEFORMAT</w:instrText>
    </w:r>
    <w:r>
      <w:fldChar w:fldCharType="separate"/>
    </w:r>
    <w:r>
      <w:rPr>
        <w:lang w:val="zh-CN"/>
      </w:rPr>
      <w:t>17</w:t>
    </w:r>
    <w:r>
      <w:fldChar w:fldCharType="end"/>
    </w:r>
  </w:p>
  <w:p w14:paraId="6EA94A1B"/>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73DAB4">
    <w:pPr>
      <w:pStyle w:val="20"/>
      <w:ind w:firstLine="360"/>
    </w:pPr>
    <w:r>
      <w:fldChar w:fldCharType="begin"/>
    </w:r>
    <w:r>
      <w:instrText xml:space="preserve">PAGE   \* MERGEFORMAT</w:instrText>
    </w:r>
    <w:r>
      <w:fldChar w:fldCharType="separate"/>
    </w:r>
    <w:r>
      <w:rPr>
        <w:lang w:val="zh-CN"/>
      </w:rPr>
      <w:t>18</w:t>
    </w:r>
    <w:r>
      <w:fldChar w:fldCharType="end"/>
    </w:r>
  </w:p>
  <w:p w14:paraId="13FA84C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131673">
    <w:pPr>
      <w:pStyle w:val="21"/>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09C885">
    <w:pPr>
      <w:pStyle w:val="21"/>
      <w:ind w:firstLine="420"/>
      <w:rPr>
        <w:rFonts w:ascii="黑体" w:hAnsi="黑体" w:eastAsia="黑体"/>
        <w:sz w:val="21"/>
        <w:szCs w:val="21"/>
      </w:rPr>
    </w:pPr>
    <w:bookmarkStart w:id="8" w:name="_Hlk9583180"/>
    <w:bookmarkStart w:id="9" w:name="_Hlk9583181"/>
    <w:bookmarkStart w:id="10" w:name="_Hlk9583169"/>
    <w:bookmarkStart w:id="11" w:name="_Hlk9583168"/>
    <w:r>
      <w:rPr>
        <w:rFonts w:hint="eastAsia" w:ascii="黑体" w:hAnsi="黑体" w:eastAsia="黑体"/>
        <w:sz w:val="21"/>
        <w:szCs w:val="21"/>
      </w:rPr>
      <w:t>JJF××××</w:t>
    </w:r>
    <w:r>
      <w:rPr>
        <w:rFonts w:hint="eastAsia" w:ascii="黑体" w:hAnsi="黑体" w:eastAsia="黑体"/>
        <w:sz w:val="21"/>
        <w:szCs w:val="21"/>
      </w:rPr>
      <w:sym w:font="Symbol" w:char="F0BE"/>
    </w:r>
    <w:r>
      <w:rPr>
        <w:rFonts w:hint="eastAsia" w:ascii="黑体" w:hAnsi="黑体" w:eastAsia="黑体"/>
        <w:sz w:val="21"/>
        <w:szCs w:val="21"/>
      </w:rPr>
      <w:t>××××</w:t>
    </w:r>
    <w:bookmarkEnd w:id="8"/>
    <w:bookmarkEnd w:id="9"/>
    <w:bookmarkEnd w:id="10"/>
    <w:bookmarkEnd w:id="11"/>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C39562">
    <w:pPr>
      <w:pStyle w:val="21"/>
      <w:pBdr>
        <w:bottom w:val="none" w:color="auto" w:sz="0" w:space="0"/>
      </w:pBdr>
      <w:wordWrap w:val="0"/>
      <w:spacing w:line="240" w:lineRule="auto"/>
      <w:ind w:firstLine="0" w:firstLineChars="0"/>
      <w:jc w:val="right"/>
      <w:rPr>
        <w:sz w:val="84"/>
        <w:szCs w:val="84"/>
      </w:rPr>
    </w:pPr>
    <w:r>
      <w:rPr>
        <w:sz w:val="84"/>
        <w:szCs w:val="84"/>
      </w:rPr>
      <w:t>JJ</w:t>
    </w:r>
    <w:r>
      <w:rPr>
        <w:rFonts w:hint="eastAsia"/>
        <w:sz w:val="84"/>
        <w:szCs w:val="84"/>
      </w:rPr>
      <w:t>F</w:t>
    </w:r>
    <w:r>
      <w:rPr>
        <w:sz w:val="84"/>
        <w:szCs w:val="84"/>
      </w:rP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84A186">
    <w:pPr>
      <w:pStyle w:val="21"/>
      <w:ind w:firstLine="420"/>
      <w:rPr>
        <w:rFonts w:ascii="黑体" w:hAnsi="黑体" w:eastAsia="黑体"/>
        <w:sz w:val="21"/>
        <w:szCs w:val="21"/>
      </w:rPr>
    </w:pPr>
    <w:r>
      <w:rPr>
        <w:rFonts w:hint="eastAsia" w:ascii="黑体" w:hAnsi="黑体" w:eastAsia="黑体"/>
        <w:sz w:val="21"/>
        <w:szCs w:val="21"/>
      </w:rPr>
      <w:t>JJF××××</w:t>
    </w:r>
    <w:r>
      <w:rPr>
        <w:rFonts w:hint="eastAsia" w:ascii="黑体" w:hAnsi="黑体" w:eastAsia="黑体"/>
        <w:sz w:val="21"/>
        <w:szCs w:val="21"/>
      </w:rPr>
      <w:sym w:font="Symbol" w:char="F0BE"/>
    </w:r>
    <w:r>
      <w:rPr>
        <w:rFonts w:hint="eastAsia" w:ascii="黑体" w:hAnsi="黑体" w:eastAsia="黑体"/>
        <w:sz w:val="21"/>
        <w:szCs w:val="21"/>
      </w:rPr>
      <w:t>××××</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3F7F11">
    <w:pPr>
      <w:pStyle w:val="21"/>
      <w:ind w:firstLine="420"/>
      <w:rPr>
        <w:rFonts w:ascii="黑体" w:hAnsi="黑体" w:eastAsia="黑体"/>
        <w:sz w:val="21"/>
        <w:szCs w:val="21"/>
      </w:rPr>
    </w:pPr>
    <w:r>
      <w:rPr>
        <w:rFonts w:hint="eastAsia" w:ascii="黑体" w:hAnsi="黑体" w:eastAsia="黑体"/>
        <w:sz w:val="21"/>
        <w:szCs w:val="21"/>
      </w:rPr>
      <w:t>JJF ××××</w:t>
    </w:r>
    <w:r>
      <w:rPr>
        <w:rFonts w:hint="eastAsia" w:ascii="黑体" w:hAnsi="黑体" w:eastAsia="黑体"/>
        <w:sz w:val="21"/>
        <w:szCs w:val="21"/>
      </w:rPr>
      <w:sym w:font="Symbol" w:char="F0BE"/>
    </w:r>
    <w:r>
      <w:rPr>
        <w:rFonts w:hint="eastAsia" w:ascii="黑体" w:hAnsi="黑体" w:eastAsia="黑体"/>
        <w:sz w:val="21"/>
        <w:szCs w:val="21"/>
      </w:rPr>
      <w:t>××××</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C3501B">
    <w:pPr>
      <w:pStyle w:val="21"/>
      <w:ind w:firstLine="420"/>
      <w:rPr>
        <w:rFonts w:ascii="黑体" w:hAnsi="黑体" w:eastAsia="黑体"/>
        <w:sz w:val="21"/>
        <w:szCs w:val="21"/>
      </w:rPr>
    </w:pPr>
    <w:r>
      <w:rPr>
        <w:rFonts w:hint="eastAsia" w:ascii="黑体" w:hAnsi="黑体" w:eastAsia="黑体"/>
        <w:sz w:val="21"/>
        <w:szCs w:val="21"/>
      </w:rPr>
      <w:t>JJF ××××</w:t>
    </w:r>
    <w:r>
      <w:rPr>
        <w:rFonts w:hint="eastAsia" w:ascii="黑体" w:hAnsi="黑体" w:eastAsia="黑体"/>
        <w:sz w:val="21"/>
        <w:szCs w:val="21"/>
      </w:rPr>
      <w:sym w:font="Symbol" w:char="F0BE"/>
    </w:r>
    <w:r>
      <w:rPr>
        <w:rFonts w:hint="eastAsia" w:ascii="黑体" w:hAnsi="黑体" w:eastAsia="黑体"/>
        <w:sz w:val="21"/>
        <w:szCs w:val="21"/>
      </w:rPr>
      <w:t>××××</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73DAB3">
    <w:pPr>
      <w:pStyle w:val="21"/>
      <w:ind w:firstLine="420"/>
      <w:rPr>
        <w:rFonts w:ascii="黑体" w:hAnsi="黑体" w:eastAsia="黑体"/>
        <w:sz w:val="21"/>
        <w:szCs w:val="21"/>
      </w:rPr>
    </w:pPr>
    <w:r>
      <w:rPr>
        <w:rFonts w:hint="eastAsia" w:ascii="黑体" w:hAnsi="黑体" w:eastAsia="黑体"/>
        <w:sz w:val="21"/>
        <w:szCs w:val="21"/>
      </w:rPr>
      <w:t>JJF ××××</w:t>
    </w:r>
    <w:r>
      <w:rPr>
        <w:rFonts w:hint="eastAsia" w:ascii="黑体" w:hAnsi="黑体" w:eastAsia="黑体"/>
        <w:sz w:val="21"/>
        <w:szCs w:val="21"/>
      </w:rPr>
      <w:sym w:font="Symbol" w:char="F0BE"/>
    </w:r>
    <w:r>
      <w:rPr>
        <w:rFonts w:hint="eastAsia" w:ascii="黑体" w:hAnsi="黑体" w:eastAsia="黑体"/>
        <w:sz w:val="21"/>
        <w:szCs w:val="21"/>
      </w:rPr>
      <w:t>××××</w:t>
    </w:r>
  </w:p>
  <w:p w14:paraId="04C60C8A"/>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73DAB2">
    <w:pPr>
      <w:pStyle w:val="21"/>
      <w:ind w:firstLine="420"/>
      <w:rPr>
        <w:rFonts w:ascii="黑体" w:hAnsi="黑体" w:eastAsia="黑体"/>
        <w:sz w:val="21"/>
        <w:szCs w:val="21"/>
      </w:rPr>
    </w:pPr>
    <w:r>
      <w:rPr>
        <w:rFonts w:hint="eastAsia" w:ascii="黑体" w:hAnsi="黑体" w:eastAsia="黑体"/>
        <w:sz w:val="21"/>
        <w:szCs w:val="21"/>
      </w:rPr>
      <w:t>JJF ××××</w:t>
    </w:r>
    <w:r>
      <w:rPr>
        <w:rFonts w:hint="eastAsia" w:ascii="黑体" w:hAnsi="黑体" w:eastAsia="黑体"/>
        <w:sz w:val="21"/>
        <w:szCs w:val="21"/>
      </w:rPr>
      <w:sym w:font="Symbol" w:char="F0BE"/>
    </w:r>
    <w:r>
      <w:rPr>
        <w:rFonts w:hint="eastAsia" w:ascii="黑体" w:hAnsi="黑体" w:eastAsia="黑体"/>
        <w:sz w:val="21"/>
        <w:szCs w:val="21"/>
      </w:rPr>
      <w:t>××××</w:t>
    </w:r>
  </w:p>
  <w:p w14:paraId="4C848E8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201E418"/>
    <w:multiLevelType w:val="multilevel"/>
    <w:tmpl w:val="B201E418"/>
    <w:lvl w:ilvl="0" w:tentative="0">
      <w:start w:val="2"/>
      <w:numFmt w:val="upperLetter"/>
      <w:pStyle w:val="117"/>
      <w:lvlText w:val="附录 %1."/>
      <w:lvlJc w:val="left"/>
      <w:pPr>
        <w:ind w:left="425" w:hanging="425"/>
      </w:pPr>
      <w:rPr>
        <w:rFonts w:hint="default" w:ascii="宋体" w:hAnsi="宋体" w:eastAsia="宋体" w:cs="宋体"/>
      </w:rPr>
    </w:lvl>
    <w:lvl w:ilvl="1" w:tentative="0">
      <w:start w:val="1"/>
      <w:numFmt w:val="decimal"/>
      <w:pStyle w:val="121"/>
      <w:lvlText w:val="%1.%2."/>
      <w:lvlJc w:val="left"/>
      <w:pPr>
        <w:ind w:left="567" w:hanging="567"/>
      </w:pPr>
      <w:rPr>
        <w:rFonts w:hint="default" w:ascii="宋体" w:hAnsi="宋体" w:eastAsia="宋体" w:cs="宋体"/>
      </w:rPr>
    </w:lvl>
    <w:lvl w:ilvl="2" w:tentative="0">
      <w:start w:val="1"/>
      <w:numFmt w:val="decimal"/>
      <w:lvlText w:val="%1.%2.%3."/>
      <w:lvlJc w:val="left"/>
      <w:pPr>
        <w:ind w:left="709" w:hanging="709"/>
      </w:pPr>
      <w:rPr>
        <w:rFonts w:hint="default" w:ascii="宋体" w:hAnsi="宋体" w:eastAsia="宋体" w:cs="宋体"/>
      </w:rPr>
    </w:lvl>
    <w:lvl w:ilvl="3" w:tentative="0">
      <w:start w:val="1"/>
      <w:numFmt w:val="decimal"/>
      <w:lvlText w:val="%1.%2.%3.%4."/>
      <w:lvlJc w:val="left"/>
      <w:pPr>
        <w:ind w:left="851" w:hanging="851"/>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1">
    <w:nsid w:val="00000005"/>
    <w:multiLevelType w:val="multilevel"/>
    <w:tmpl w:val="00000005"/>
    <w:lvl w:ilvl="0" w:tentative="0">
      <w:start w:val="1"/>
      <w:numFmt w:val="decimal"/>
      <w:pStyle w:val="2"/>
      <w:lvlText w:val="%1"/>
      <w:lvlJc w:val="left"/>
      <w:pPr>
        <w:ind w:left="432" w:hanging="432"/>
      </w:pPr>
      <w:rPr>
        <w:rFonts w:hint="eastAsia"/>
      </w:rPr>
    </w:lvl>
    <w:lvl w:ilvl="1" w:tentative="0">
      <w:start w:val="1"/>
      <w:numFmt w:val="decimal"/>
      <w:pStyle w:val="4"/>
      <w:lvlText w:val="%1.%2"/>
      <w:lvlJc w:val="left"/>
      <w:pPr>
        <w:ind w:left="576" w:hanging="576"/>
      </w:pPr>
      <w:rPr>
        <w:rFonts w:hint="default"/>
      </w:rPr>
    </w:lvl>
    <w:lvl w:ilvl="2" w:tentative="0">
      <w:start w:val="1"/>
      <w:numFmt w:val="decimal"/>
      <w:pStyle w:val="5"/>
      <w:lvlText w:val="%1.%2.%3"/>
      <w:lvlJc w:val="left"/>
      <w:pPr>
        <w:ind w:left="720" w:hanging="720"/>
      </w:pPr>
      <w:rPr>
        <w:rFonts w:hint="default"/>
      </w:rPr>
    </w:lvl>
    <w:lvl w:ilvl="3" w:tentative="0">
      <w:start w:val="1"/>
      <w:numFmt w:val="decimal"/>
      <w:pStyle w:val="6"/>
      <w:lvlText w:val="%1.%2.%3.%4"/>
      <w:lvlJc w:val="left"/>
      <w:pPr>
        <w:ind w:left="864" w:hanging="864"/>
      </w:pPr>
      <w:rPr>
        <w:rFonts w:hint="default"/>
      </w:rPr>
    </w:lvl>
    <w:lvl w:ilvl="4" w:tentative="0">
      <w:start w:val="1"/>
      <w:numFmt w:val="decimal"/>
      <w:pStyle w:val="7"/>
      <w:lvlText w:val="%1.%2.%3.%4.%5"/>
      <w:lvlJc w:val="left"/>
      <w:pPr>
        <w:ind w:left="1008" w:hanging="1008"/>
      </w:pPr>
      <w:rPr>
        <w:rFonts w:hint="default"/>
      </w:rPr>
    </w:lvl>
    <w:lvl w:ilvl="5" w:tentative="0">
      <w:start w:val="1"/>
      <w:numFmt w:val="decimal"/>
      <w:pStyle w:val="8"/>
      <w:lvlText w:val="%1.%2.%3.%4.%5.%6"/>
      <w:lvlJc w:val="left"/>
      <w:pPr>
        <w:ind w:left="1152" w:hanging="1152"/>
      </w:pPr>
      <w:rPr>
        <w:rFonts w:hint="default"/>
      </w:rPr>
    </w:lvl>
    <w:lvl w:ilvl="6" w:tentative="0">
      <w:start w:val="1"/>
      <w:numFmt w:val="decimal"/>
      <w:pStyle w:val="9"/>
      <w:lvlText w:val="%1.%2.%3.%4.%5.%6.%7"/>
      <w:lvlJc w:val="left"/>
      <w:pPr>
        <w:ind w:left="1296" w:hanging="1296"/>
      </w:pPr>
      <w:rPr>
        <w:rFonts w:hint="default"/>
      </w:rPr>
    </w:lvl>
    <w:lvl w:ilvl="7" w:tentative="0">
      <w:start w:val="1"/>
      <w:numFmt w:val="decimal"/>
      <w:pStyle w:val="10"/>
      <w:lvlText w:val="%1.%2.%3.%4.%5.%6.%7.%8"/>
      <w:lvlJc w:val="left"/>
      <w:pPr>
        <w:ind w:left="1440" w:hanging="1440"/>
      </w:pPr>
      <w:rPr>
        <w:rFonts w:hint="default"/>
      </w:rPr>
    </w:lvl>
    <w:lvl w:ilvl="8" w:tentative="0">
      <w:start w:val="1"/>
      <w:numFmt w:val="decimal"/>
      <w:pStyle w:val="11"/>
      <w:lvlText w:val="%1.%2.%3.%4.%5.%6.%7.%8.%9"/>
      <w:lvlJc w:val="left"/>
      <w:pPr>
        <w:ind w:left="1584" w:hanging="1584"/>
      </w:pPr>
      <w:rPr>
        <w:rFonts w:hint="default"/>
      </w:rPr>
    </w:lvl>
  </w:abstractNum>
  <w:abstractNum w:abstractNumId="2">
    <w:nsid w:val="072D7C2A"/>
    <w:multiLevelType w:val="multilevel"/>
    <w:tmpl w:val="072D7C2A"/>
    <w:lvl w:ilvl="0" w:tentative="0">
      <w:start w:val="1"/>
      <w:numFmt w:val="lowerLetter"/>
      <w:lvlText w:val="%1)"/>
      <w:lvlJc w:val="left"/>
      <w:pPr>
        <w:tabs>
          <w:tab w:val="left" w:pos="420"/>
        </w:tabs>
        <w:ind w:left="420" w:hanging="420"/>
      </w:pPr>
      <w:rPr>
        <w:rFonts w:hint="eastAsia"/>
      </w:rPr>
    </w:lvl>
    <w:lvl w:ilvl="1" w:tentative="0">
      <w:start w:val="1"/>
      <w:numFmt w:val="lowerLetter"/>
      <w:pStyle w:val="86"/>
      <w:lvlText w:val="%2)"/>
      <w:lvlJc w:val="left"/>
      <w:pPr>
        <w:ind w:left="1320" w:hanging="420"/>
      </w:pPr>
    </w:lvl>
    <w:lvl w:ilvl="2" w:tentative="0">
      <w:start w:val="1"/>
      <w:numFmt w:val="lowerRoman"/>
      <w:pStyle w:val="83"/>
      <w:lvlText w:val="%3."/>
      <w:lvlJc w:val="right"/>
      <w:pPr>
        <w:ind w:left="1740" w:hanging="420"/>
      </w:pPr>
    </w:lvl>
    <w:lvl w:ilvl="3" w:tentative="0">
      <w:start w:val="1"/>
      <w:numFmt w:val="decimal"/>
      <w:lvlText w:val="%4."/>
      <w:lvlJc w:val="left"/>
      <w:pPr>
        <w:ind w:left="2160" w:hanging="420"/>
      </w:pPr>
    </w:lvl>
    <w:lvl w:ilvl="4" w:tentative="0">
      <w:start w:val="1"/>
      <w:numFmt w:val="lowerLetter"/>
      <w:pStyle w:val="84"/>
      <w:lvlText w:val="%5)"/>
      <w:lvlJc w:val="left"/>
      <w:pPr>
        <w:ind w:left="2580" w:hanging="420"/>
      </w:pPr>
    </w:lvl>
    <w:lvl w:ilvl="5" w:tentative="0">
      <w:start w:val="1"/>
      <w:numFmt w:val="lowerRoman"/>
      <w:pStyle w:val="85"/>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
    <w:nsid w:val="1DBF583A"/>
    <w:multiLevelType w:val="multilevel"/>
    <w:tmpl w:val="1DBF583A"/>
    <w:lvl w:ilvl="0" w:tentative="0">
      <w:start w:val="1"/>
      <w:numFmt w:val="decimal"/>
      <w:pStyle w:val="97"/>
      <w:suff w:val="nothing"/>
      <w:lvlText w:val="注%1："/>
      <w:lvlJc w:val="left"/>
      <w:pPr>
        <w:ind w:left="811" w:hanging="448"/>
      </w:pPr>
      <w:rPr>
        <w:rFonts w:hint="eastAsia" w:ascii="黑体" w:eastAsia="黑体"/>
        <w:b w:val="0"/>
        <w:i w:val="0"/>
        <w:sz w:val="18"/>
        <w:szCs w:val="18"/>
        <w:vertAlign w:val="baseline"/>
        <w:lang w:val="en-US"/>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4">
    <w:nsid w:val="21C5457F"/>
    <w:multiLevelType w:val="multilevel"/>
    <w:tmpl w:val="21C5457F"/>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5">
    <w:nsid w:val="325775EB"/>
    <w:multiLevelType w:val="multilevel"/>
    <w:tmpl w:val="325775EB"/>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6">
    <w:nsid w:val="37062260"/>
    <w:multiLevelType w:val="multilevel"/>
    <w:tmpl w:val="37062260"/>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7">
    <w:nsid w:val="37DB1254"/>
    <w:multiLevelType w:val="multilevel"/>
    <w:tmpl w:val="37DB1254"/>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8">
    <w:nsid w:val="39D93671"/>
    <w:multiLevelType w:val="multilevel"/>
    <w:tmpl w:val="39D93671"/>
    <w:lvl w:ilvl="0" w:tentative="0">
      <w:start w:val="3"/>
      <w:numFmt w:val="upperLetter"/>
      <w:lvlText w:val="%1."/>
      <w:lvlJc w:val="left"/>
      <w:pPr>
        <w:ind w:left="425" w:hanging="425"/>
      </w:pPr>
      <w:rPr>
        <w:rFonts w:hint="default" w:ascii="宋体" w:hAnsi="宋体" w:eastAsia="宋体" w:cs="宋体"/>
      </w:rPr>
    </w:lvl>
    <w:lvl w:ilvl="1" w:tentative="0">
      <w:start w:val="1"/>
      <w:numFmt w:val="decimal"/>
      <w:pStyle w:val="118"/>
      <w:lvlText w:val="%1.%2."/>
      <w:lvlJc w:val="left"/>
      <w:pPr>
        <w:ind w:left="567" w:hanging="567"/>
      </w:pPr>
      <w:rPr>
        <w:rFonts w:hint="default" w:ascii="宋体" w:hAnsi="宋体" w:eastAsia="宋体" w:cs="宋体"/>
      </w:rPr>
    </w:lvl>
    <w:lvl w:ilvl="2" w:tentative="0">
      <w:start w:val="1"/>
      <w:numFmt w:val="decimal"/>
      <w:lvlText w:val="%1.%2.%3."/>
      <w:lvlJc w:val="left"/>
      <w:pPr>
        <w:ind w:left="709" w:hanging="709"/>
      </w:pPr>
      <w:rPr>
        <w:rFonts w:hint="eastAsia"/>
      </w:rPr>
    </w:lvl>
    <w:lvl w:ilvl="3" w:tentative="0">
      <w:start w:val="1"/>
      <w:numFmt w:val="decimal"/>
      <w:lvlText w:val="%1.%2.%3.%4."/>
      <w:lvlJc w:val="left"/>
      <w:pPr>
        <w:ind w:left="851" w:hanging="851"/>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9">
    <w:nsid w:val="3BFA278D"/>
    <w:multiLevelType w:val="multilevel"/>
    <w:tmpl w:val="3BFA278D"/>
    <w:lvl w:ilvl="0" w:tentative="0">
      <w:start w:val="1"/>
      <w:numFmt w:val="bullet"/>
      <w:lvlText w:val=""/>
      <w:lvlJc w:val="left"/>
      <w:pPr>
        <w:tabs>
          <w:tab w:val="left" w:pos="720"/>
        </w:tabs>
        <w:ind w:left="720" w:hanging="360"/>
      </w:pPr>
      <w:rPr>
        <w:rFonts w:hint="default" w:ascii="Wingdings" w:hAnsi="Wingdings"/>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10">
    <w:nsid w:val="56CC0E0F"/>
    <w:multiLevelType w:val="multilevel"/>
    <w:tmpl w:val="56CC0E0F"/>
    <w:lvl w:ilvl="0" w:tentative="0">
      <w:start w:val="1"/>
      <w:numFmt w:val="bullet"/>
      <w:lvlText w:val=""/>
      <w:lvlJc w:val="left"/>
      <w:pPr>
        <w:tabs>
          <w:tab w:val="left" w:pos="720"/>
        </w:tabs>
        <w:ind w:left="720" w:hanging="360"/>
      </w:pPr>
      <w:rPr>
        <w:rFonts w:hint="default" w:ascii="Wingdings" w:hAnsi="Wingdings"/>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11">
    <w:nsid w:val="5D2AF345"/>
    <w:multiLevelType w:val="multilevel"/>
    <w:tmpl w:val="5D2AF345"/>
    <w:lvl w:ilvl="0" w:tentative="0">
      <w:start w:val="1"/>
      <w:numFmt w:val="upperLetter"/>
      <w:lvlText w:val="%1."/>
      <w:lvlJc w:val="left"/>
      <w:pPr>
        <w:ind w:left="425" w:hanging="425"/>
      </w:pPr>
      <w:rPr>
        <w:rFonts w:hint="default" w:ascii="宋体" w:hAnsi="宋体" w:eastAsia="宋体" w:cs="宋体"/>
      </w:rPr>
    </w:lvl>
    <w:lvl w:ilvl="1" w:tentative="0">
      <w:start w:val="1"/>
      <w:numFmt w:val="decimal"/>
      <w:pStyle w:val="119"/>
      <w:lvlText w:val="表%1.%2."/>
      <w:lvlJc w:val="center"/>
      <w:pPr>
        <w:ind w:left="567" w:hanging="567"/>
      </w:pPr>
      <w:rPr>
        <w:rFonts w:hint="default" w:ascii="宋体" w:hAnsi="宋体" w:eastAsia="宋体" w:cs="宋体"/>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1" w:hanging="851"/>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12">
    <w:nsid w:val="5E356C47"/>
    <w:multiLevelType w:val="multilevel"/>
    <w:tmpl w:val="5E356C47"/>
    <w:lvl w:ilvl="0" w:tentative="0">
      <w:start w:val="1"/>
      <w:numFmt w:val="lowerLetter"/>
      <w:lvlText w:val="%1)"/>
      <w:lvlJc w:val="left"/>
      <w:pPr>
        <w:ind w:left="900" w:hanging="420"/>
      </w:pPr>
      <w:rPr>
        <w:rFonts w:hint="eastAsia"/>
      </w:rPr>
    </w:lvl>
    <w:lvl w:ilvl="1" w:tentative="0">
      <w:start w:val="1"/>
      <w:numFmt w:val="lowerLetter"/>
      <w:pStyle w:val="91"/>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3">
    <w:nsid w:val="6F5B4B3A"/>
    <w:multiLevelType w:val="multilevel"/>
    <w:tmpl w:val="6F5B4B3A"/>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1"/>
  </w:num>
  <w:num w:numId="2">
    <w:abstractNumId w:val="2"/>
  </w:num>
  <w:num w:numId="3">
    <w:abstractNumId w:val="12"/>
  </w:num>
  <w:num w:numId="4">
    <w:abstractNumId w:val="3"/>
  </w:num>
  <w:num w:numId="5">
    <w:abstractNumId w:val="0"/>
  </w:num>
  <w:num w:numId="6">
    <w:abstractNumId w:val="8"/>
  </w:num>
  <w:num w:numId="7">
    <w:abstractNumId w:val="11"/>
  </w:num>
  <w:num w:numId="8">
    <w:abstractNumId w:val="9"/>
  </w:num>
  <w:num w:numId="9">
    <w:abstractNumId w:val="10"/>
  </w:num>
  <w:num w:numId="10">
    <w:abstractNumId w:val="7"/>
  </w:num>
  <w:num w:numId="11">
    <w:abstractNumId w:val="5"/>
  </w:num>
  <w:num w:numId="12">
    <w:abstractNumId w:val="4"/>
  </w:num>
  <w:num w:numId="13">
    <w:abstractNumId w:val="13"/>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1"/>
  <w:bordersDoNotSurroundFooter w:val="1"/>
  <w:gutterAtTop/>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evenAndOddHeaders w:val="1"/>
  <w:drawingGridHorizontalSpacing w:val="120"/>
  <w:drawingGridVerticalSpacing w:val="163"/>
  <w:displayHorizontalDrawingGridEvery w:val="2"/>
  <w:displayVerticalDrawingGridEvery w:val="2"/>
  <w:characterSpacingControl w:val="doNotCompress"/>
  <w:footnotePr>
    <w:footnote w:id="0"/>
    <w:footnote w:id="1"/>
  </w:footnotePr>
  <w:endnotePr>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8F3"/>
    <w:rsid w:val="00001A3A"/>
    <w:rsid w:val="00003828"/>
    <w:rsid w:val="000042A7"/>
    <w:rsid w:val="000110DA"/>
    <w:rsid w:val="00012267"/>
    <w:rsid w:val="0001641E"/>
    <w:rsid w:val="00016CD7"/>
    <w:rsid w:val="00017564"/>
    <w:rsid w:val="00017A95"/>
    <w:rsid w:val="000207F6"/>
    <w:rsid w:val="00025FB1"/>
    <w:rsid w:val="00026836"/>
    <w:rsid w:val="00031D85"/>
    <w:rsid w:val="00032415"/>
    <w:rsid w:val="00033ABE"/>
    <w:rsid w:val="00033DD7"/>
    <w:rsid w:val="00036EEF"/>
    <w:rsid w:val="00041868"/>
    <w:rsid w:val="00042497"/>
    <w:rsid w:val="000448B7"/>
    <w:rsid w:val="00044C12"/>
    <w:rsid w:val="000460DF"/>
    <w:rsid w:val="00046134"/>
    <w:rsid w:val="00051204"/>
    <w:rsid w:val="00051214"/>
    <w:rsid w:val="000517D0"/>
    <w:rsid w:val="00053C93"/>
    <w:rsid w:val="000542A4"/>
    <w:rsid w:val="000542E0"/>
    <w:rsid w:val="00055A08"/>
    <w:rsid w:val="00057B7A"/>
    <w:rsid w:val="000605A8"/>
    <w:rsid w:val="00062A25"/>
    <w:rsid w:val="0006357A"/>
    <w:rsid w:val="00064DCE"/>
    <w:rsid w:val="000715DA"/>
    <w:rsid w:val="000723F0"/>
    <w:rsid w:val="00072943"/>
    <w:rsid w:val="00073DF5"/>
    <w:rsid w:val="00075CF0"/>
    <w:rsid w:val="0008075F"/>
    <w:rsid w:val="00080A86"/>
    <w:rsid w:val="00083889"/>
    <w:rsid w:val="00084C33"/>
    <w:rsid w:val="00085E71"/>
    <w:rsid w:val="00087365"/>
    <w:rsid w:val="00087F1C"/>
    <w:rsid w:val="0009106B"/>
    <w:rsid w:val="00092548"/>
    <w:rsid w:val="00092C9E"/>
    <w:rsid w:val="00094058"/>
    <w:rsid w:val="000949E9"/>
    <w:rsid w:val="000971E3"/>
    <w:rsid w:val="000978BE"/>
    <w:rsid w:val="00097AA2"/>
    <w:rsid w:val="000A36E0"/>
    <w:rsid w:val="000A3B9C"/>
    <w:rsid w:val="000A7D0B"/>
    <w:rsid w:val="000B382A"/>
    <w:rsid w:val="000B454E"/>
    <w:rsid w:val="000B4A02"/>
    <w:rsid w:val="000C051A"/>
    <w:rsid w:val="000C0861"/>
    <w:rsid w:val="000C28A5"/>
    <w:rsid w:val="000C2D97"/>
    <w:rsid w:val="000C4591"/>
    <w:rsid w:val="000C50AD"/>
    <w:rsid w:val="000C51EB"/>
    <w:rsid w:val="000C6286"/>
    <w:rsid w:val="000D0C4C"/>
    <w:rsid w:val="000D3631"/>
    <w:rsid w:val="000D57F7"/>
    <w:rsid w:val="000D5F25"/>
    <w:rsid w:val="000D6FEF"/>
    <w:rsid w:val="000E0907"/>
    <w:rsid w:val="000E15E6"/>
    <w:rsid w:val="000E2CC2"/>
    <w:rsid w:val="000E4678"/>
    <w:rsid w:val="000E4C0F"/>
    <w:rsid w:val="000E51A1"/>
    <w:rsid w:val="000E61C3"/>
    <w:rsid w:val="000E6479"/>
    <w:rsid w:val="000E653A"/>
    <w:rsid w:val="000F09F3"/>
    <w:rsid w:val="000F325C"/>
    <w:rsid w:val="000F60ED"/>
    <w:rsid w:val="000F7DBE"/>
    <w:rsid w:val="001017DF"/>
    <w:rsid w:val="00105BC0"/>
    <w:rsid w:val="00105F69"/>
    <w:rsid w:val="00107D9B"/>
    <w:rsid w:val="00111324"/>
    <w:rsid w:val="00120E65"/>
    <w:rsid w:val="00122E6E"/>
    <w:rsid w:val="001233C6"/>
    <w:rsid w:val="001271E3"/>
    <w:rsid w:val="00127EE3"/>
    <w:rsid w:val="001316DB"/>
    <w:rsid w:val="001321D9"/>
    <w:rsid w:val="0013277A"/>
    <w:rsid w:val="0013339F"/>
    <w:rsid w:val="00133FD5"/>
    <w:rsid w:val="00137A7F"/>
    <w:rsid w:val="0014114A"/>
    <w:rsid w:val="001434EA"/>
    <w:rsid w:val="00147DDD"/>
    <w:rsid w:val="00152B77"/>
    <w:rsid w:val="001540BB"/>
    <w:rsid w:val="00160526"/>
    <w:rsid w:val="0016207D"/>
    <w:rsid w:val="0016361C"/>
    <w:rsid w:val="00163697"/>
    <w:rsid w:val="00172A27"/>
    <w:rsid w:val="00173509"/>
    <w:rsid w:val="0017432F"/>
    <w:rsid w:val="00175968"/>
    <w:rsid w:val="00176F6E"/>
    <w:rsid w:val="00180F65"/>
    <w:rsid w:val="00182C6E"/>
    <w:rsid w:val="00183A88"/>
    <w:rsid w:val="00186AE6"/>
    <w:rsid w:val="00191756"/>
    <w:rsid w:val="001919C1"/>
    <w:rsid w:val="00191CA7"/>
    <w:rsid w:val="0019512E"/>
    <w:rsid w:val="001A0216"/>
    <w:rsid w:val="001A4867"/>
    <w:rsid w:val="001A5263"/>
    <w:rsid w:val="001B0B3B"/>
    <w:rsid w:val="001B38B6"/>
    <w:rsid w:val="001B5D06"/>
    <w:rsid w:val="001B73D0"/>
    <w:rsid w:val="001C10DF"/>
    <w:rsid w:val="001C392D"/>
    <w:rsid w:val="001C43E1"/>
    <w:rsid w:val="001C7AFA"/>
    <w:rsid w:val="001D0E15"/>
    <w:rsid w:val="001D1157"/>
    <w:rsid w:val="001D2F9D"/>
    <w:rsid w:val="001D7141"/>
    <w:rsid w:val="001D7947"/>
    <w:rsid w:val="001E066F"/>
    <w:rsid w:val="001E109E"/>
    <w:rsid w:val="001E4517"/>
    <w:rsid w:val="001E4C6D"/>
    <w:rsid w:val="001E67F1"/>
    <w:rsid w:val="001F212B"/>
    <w:rsid w:val="00200754"/>
    <w:rsid w:val="00206C0E"/>
    <w:rsid w:val="002126E1"/>
    <w:rsid w:val="0021291B"/>
    <w:rsid w:val="00213ED3"/>
    <w:rsid w:val="0022701A"/>
    <w:rsid w:val="002272B9"/>
    <w:rsid w:val="00227FA8"/>
    <w:rsid w:val="0023311A"/>
    <w:rsid w:val="00235903"/>
    <w:rsid w:val="00235F1E"/>
    <w:rsid w:val="00235FFF"/>
    <w:rsid w:val="002400AB"/>
    <w:rsid w:val="002403CF"/>
    <w:rsid w:val="0024284E"/>
    <w:rsid w:val="00242DCC"/>
    <w:rsid w:val="00245AC1"/>
    <w:rsid w:val="0024672D"/>
    <w:rsid w:val="00246989"/>
    <w:rsid w:val="00247AFB"/>
    <w:rsid w:val="00250F4D"/>
    <w:rsid w:val="00253B8E"/>
    <w:rsid w:val="00254D52"/>
    <w:rsid w:val="00260227"/>
    <w:rsid w:val="002602C4"/>
    <w:rsid w:val="00264EA5"/>
    <w:rsid w:val="00270C53"/>
    <w:rsid w:val="0027111F"/>
    <w:rsid w:val="00273994"/>
    <w:rsid w:val="00275544"/>
    <w:rsid w:val="002774C0"/>
    <w:rsid w:val="00277C64"/>
    <w:rsid w:val="00283544"/>
    <w:rsid w:val="00283A19"/>
    <w:rsid w:val="00285273"/>
    <w:rsid w:val="00291A53"/>
    <w:rsid w:val="00294AF6"/>
    <w:rsid w:val="00295159"/>
    <w:rsid w:val="00297B45"/>
    <w:rsid w:val="002A0292"/>
    <w:rsid w:val="002A0323"/>
    <w:rsid w:val="002A0F85"/>
    <w:rsid w:val="002A1028"/>
    <w:rsid w:val="002A1A38"/>
    <w:rsid w:val="002A1FFB"/>
    <w:rsid w:val="002A2B37"/>
    <w:rsid w:val="002A3C48"/>
    <w:rsid w:val="002A5961"/>
    <w:rsid w:val="002A5CE2"/>
    <w:rsid w:val="002A6A01"/>
    <w:rsid w:val="002B1834"/>
    <w:rsid w:val="002B204C"/>
    <w:rsid w:val="002B5FF0"/>
    <w:rsid w:val="002B6D45"/>
    <w:rsid w:val="002C14E7"/>
    <w:rsid w:val="002C4170"/>
    <w:rsid w:val="002C55CF"/>
    <w:rsid w:val="002D1015"/>
    <w:rsid w:val="002D2351"/>
    <w:rsid w:val="002D63DA"/>
    <w:rsid w:val="002D76A6"/>
    <w:rsid w:val="002E0B62"/>
    <w:rsid w:val="002E0DBF"/>
    <w:rsid w:val="002E17A7"/>
    <w:rsid w:val="002E44B3"/>
    <w:rsid w:val="002F4DF0"/>
    <w:rsid w:val="002F5A29"/>
    <w:rsid w:val="00304579"/>
    <w:rsid w:val="00310607"/>
    <w:rsid w:val="003122D0"/>
    <w:rsid w:val="00314500"/>
    <w:rsid w:val="003147BF"/>
    <w:rsid w:val="00314E62"/>
    <w:rsid w:val="00315A31"/>
    <w:rsid w:val="00315AFC"/>
    <w:rsid w:val="0031751F"/>
    <w:rsid w:val="003201EA"/>
    <w:rsid w:val="0032146C"/>
    <w:rsid w:val="003226B1"/>
    <w:rsid w:val="003271FD"/>
    <w:rsid w:val="0033173E"/>
    <w:rsid w:val="00331BC5"/>
    <w:rsid w:val="003344F7"/>
    <w:rsid w:val="00334E00"/>
    <w:rsid w:val="003370F0"/>
    <w:rsid w:val="00337D7D"/>
    <w:rsid w:val="003435FB"/>
    <w:rsid w:val="00347482"/>
    <w:rsid w:val="00360FFB"/>
    <w:rsid w:val="003667DF"/>
    <w:rsid w:val="003723EA"/>
    <w:rsid w:val="003725AD"/>
    <w:rsid w:val="003727DE"/>
    <w:rsid w:val="00372896"/>
    <w:rsid w:val="00373EB8"/>
    <w:rsid w:val="00373FFB"/>
    <w:rsid w:val="00374515"/>
    <w:rsid w:val="00375D55"/>
    <w:rsid w:val="00375E08"/>
    <w:rsid w:val="003779EC"/>
    <w:rsid w:val="003865A1"/>
    <w:rsid w:val="00387BF8"/>
    <w:rsid w:val="003976A4"/>
    <w:rsid w:val="003A2433"/>
    <w:rsid w:val="003A3B07"/>
    <w:rsid w:val="003A4FA0"/>
    <w:rsid w:val="003A53A7"/>
    <w:rsid w:val="003B3F35"/>
    <w:rsid w:val="003B4064"/>
    <w:rsid w:val="003B5FD7"/>
    <w:rsid w:val="003C2993"/>
    <w:rsid w:val="003C40E6"/>
    <w:rsid w:val="003C4A8B"/>
    <w:rsid w:val="003C70BF"/>
    <w:rsid w:val="003C7E2D"/>
    <w:rsid w:val="003E0DDC"/>
    <w:rsid w:val="003E13B6"/>
    <w:rsid w:val="003E2276"/>
    <w:rsid w:val="003E3073"/>
    <w:rsid w:val="003E4A04"/>
    <w:rsid w:val="003E6BB3"/>
    <w:rsid w:val="003F2E0A"/>
    <w:rsid w:val="003F39AF"/>
    <w:rsid w:val="003F67B9"/>
    <w:rsid w:val="004031DD"/>
    <w:rsid w:val="004079BE"/>
    <w:rsid w:val="004107DE"/>
    <w:rsid w:val="0041340B"/>
    <w:rsid w:val="00415970"/>
    <w:rsid w:val="00415E84"/>
    <w:rsid w:val="004165B4"/>
    <w:rsid w:val="0041663F"/>
    <w:rsid w:val="00421637"/>
    <w:rsid w:val="00421868"/>
    <w:rsid w:val="0042485C"/>
    <w:rsid w:val="00424D76"/>
    <w:rsid w:val="00426E8D"/>
    <w:rsid w:val="00433341"/>
    <w:rsid w:val="00434026"/>
    <w:rsid w:val="00434440"/>
    <w:rsid w:val="004356EC"/>
    <w:rsid w:val="00440AF2"/>
    <w:rsid w:val="00443581"/>
    <w:rsid w:val="0045299E"/>
    <w:rsid w:val="0045401A"/>
    <w:rsid w:val="00455D4C"/>
    <w:rsid w:val="0046104E"/>
    <w:rsid w:val="00461AE8"/>
    <w:rsid w:val="0046265D"/>
    <w:rsid w:val="0046628D"/>
    <w:rsid w:val="004703CA"/>
    <w:rsid w:val="004708F1"/>
    <w:rsid w:val="004713D6"/>
    <w:rsid w:val="00471EB3"/>
    <w:rsid w:val="00472952"/>
    <w:rsid w:val="00477A86"/>
    <w:rsid w:val="004814A4"/>
    <w:rsid w:val="004821F7"/>
    <w:rsid w:val="00485AA4"/>
    <w:rsid w:val="00486D17"/>
    <w:rsid w:val="00487B9F"/>
    <w:rsid w:val="004904D3"/>
    <w:rsid w:val="00492292"/>
    <w:rsid w:val="004973CB"/>
    <w:rsid w:val="004A2303"/>
    <w:rsid w:val="004A420B"/>
    <w:rsid w:val="004A5101"/>
    <w:rsid w:val="004B1913"/>
    <w:rsid w:val="004B2E52"/>
    <w:rsid w:val="004B47C6"/>
    <w:rsid w:val="004B6A3C"/>
    <w:rsid w:val="004C0B59"/>
    <w:rsid w:val="004C230A"/>
    <w:rsid w:val="004C396A"/>
    <w:rsid w:val="004C3FD8"/>
    <w:rsid w:val="004C7CA1"/>
    <w:rsid w:val="004D0246"/>
    <w:rsid w:val="004D04D8"/>
    <w:rsid w:val="004D11B0"/>
    <w:rsid w:val="004D41D8"/>
    <w:rsid w:val="004D561B"/>
    <w:rsid w:val="004D6701"/>
    <w:rsid w:val="004D6AA0"/>
    <w:rsid w:val="004F0D17"/>
    <w:rsid w:val="004F25D7"/>
    <w:rsid w:val="004F35F7"/>
    <w:rsid w:val="004F3FC9"/>
    <w:rsid w:val="004F4081"/>
    <w:rsid w:val="004F6244"/>
    <w:rsid w:val="005101B1"/>
    <w:rsid w:val="00510BD1"/>
    <w:rsid w:val="005119D0"/>
    <w:rsid w:val="0051205A"/>
    <w:rsid w:val="00516108"/>
    <w:rsid w:val="005215B3"/>
    <w:rsid w:val="00523BDA"/>
    <w:rsid w:val="00525231"/>
    <w:rsid w:val="00525C3F"/>
    <w:rsid w:val="005267B6"/>
    <w:rsid w:val="00527287"/>
    <w:rsid w:val="005315AE"/>
    <w:rsid w:val="00532836"/>
    <w:rsid w:val="00533E65"/>
    <w:rsid w:val="0053541C"/>
    <w:rsid w:val="00536A09"/>
    <w:rsid w:val="00540972"/>
    <w:rsid w:val="00547183"/>
    <w:rsid w:val="00550A53"/>
    <w:rsid w:val="00551513"/>
    <w:rsid w:val="00555A76"/>
    <w:rsid w:val="00557C8D"/>
    <w:rsid w:val="00562177"/>
    <w:rsid w:val="00564D21"/>
    <w:rsid w:val="00566CAD"/>
    <w:rsid w:val="0057177E"/>
    <w:rsid w:val="00573B00"/>
    <w:rsid w:val="0058287C"/>
    <w:rsid w:val="005829C1"/>
    <w:rsid w:val="0058487E"/>
    <w:rsid w:val="00584B50"/>
    <w:rsid w:val="005905C4"/>
    <w:rsid w:val="00591664"/>
    <w:rsid w:val="0059471D"/>
    <w:rsid w:val="005A14D7"/>
    <w:rsid w:val="005A2992"/>
    <w:rsid w:val="005A463B"/>
    <w:rsid w:val="005A5C13"/>
    <w:rsid w:val="005B01D9"/>
    <w:rsid w:val="005B0E87"/>
    <w:rsid w:val="005B0F82"/>
    <w:rsid w:val="005B1044"/>
    <w:rsid w:val="005B11FA"/>
    <w:rsid w:val="005B3537"/>
    <w:rsid w:val="005B3C0F"/>
    <w:rsid w:val="005B52DA"/>
    <w:rsid w:val="005B6522"/>
    <w:rsid w:val="005C0AAA"/>
    <w:rsid w:val="005C4D35"/>
    <w:rsid w:val="005C6C14"/>
    <w:rsid w:val="005C6F45"/>
    <w:rsid w:val="005D2AC6"/>
    <w:rsid w:val="005D5EA4"/>
    <w:rsid w:val="005D6F46"/>
    <w:rsid w:val="005D7A0A"/>
    <w:rsid w:val="005D7E5B"/>
    <w:rsid w:val="005E36E6"/>
    <w:rsid w:val="005F004C"/>
    <w:rsid w:val="005F3455"/>
    <w:rsid w:val="005F4964"/>
    <w:rsid w:val="005F530C"/>
    <w:rsid w:val="00606689"/>
    <w:rsid w:val="00612F8B"/>
    <w:rsid w:val="006163AB"/>
    <w:rsid w:val="006266E9"/>
    <w:rsid w:val="006275BE"/>
    <w:rsid w:val="00627FFA"/>
    <w:rsid w:val="00633B60"/>
    <w:rsid w:val="00633BEB"/>
    <w:rsid w:val="006345F5"/>
    <w:rsid w:val="00637804"/>
    <w:rsid w:val="0064082D"/>
    <w:rsid w:val="00640A64"/>
    <w:rsid w:val="00642436"/>
    <w:rsid w:val="00642C9C"/>
    <w:rsid w:val="00642DC1"/>
    <w:rsid w:val="00646DF0"/>
    <w:rsid w:val="00647292"/>
    <w:rsid w:val="00647317"/>
    <w:rsid w:val="006473D7"/>
    <w:rsid w:val="0065066B"/>
    <w:rsid w:val="0065188B"/>
    <w:rsid w:val="00652C96"/>
    <w:rsid w:val="00654AAC"/>
    <w:rsid w:val="00661121"/>
    <w:rsid w:val="00661FBF"/>
    <w:rsid w:val="00663D47"/>
    <w:rsid w:val="00665D4C"/>
    <w:rsid w:val="00672037"/>
    <w:rsid w:val="006739C7"/>
    <w:rsid w:val="006778FF"/>
    <w:rsid w:val="00682ADD"/>
    <w:rsid w:val="00684805"/>
    <w:rsid w:val="006877C6"/>
    <w:rsid w:val="00687B93"/>
    <w:rsid w:val="00687E4F"/>
    <w:rsid w:val="006900CF"/>
    <w:rsid w:val="006907A8"/>
    <w:rsid w:val="00691D5E"/>
    <w:rsid w:val="0069355F"/>
    <w:rsid w:val="00695E6D"/>
    <w:rsid w:val="00697FDC"/>
    <w:rsid w:val="006A0D21"/>
    <w:rsid w:val="006A1EA2"/>
    <w:rsid w:val="006A244F"/>
    <w:rsid w:val="006A4FDC"/>
    <w:rsid w:val="006A6687"/>
    <w:rsid w:val="006A6E4A"/>
    <w:rsid w:val="006B3F69"/>
    <w:rsid w:val="006C21E3"/>
    <w:rsid w:val="006C7E68"/>
    <w:rsid w:val="006D026E"/>
    <w:rsid w:val="006D234E"/>
    <w:rsid w:val="006D4EE4"/>
    <w:rsid w:val="006D64E7"/>
    <w:rsid w:val="006E0B2D"/>
    <w:rsid w:val="006E0C2C"/>
    <w:rsid w:val="006E1830"/>
    <w:rsid w:val="006E3EA9"/>
    <w:rsid w:val="006E61C0"/>
    <w:rsid w:val="006E6745"/>
    <w:rsid w:val="006F00F2"/>
    <w:rsid w:val="006F0BC4"/>
    <w:rsid w:val="006F2294"/>
    <w:rsid w:val="006F26AE"/>
    <w:rsid w:val="006F521B"/>
    <w:rsid w:val="00701E17"/>
    <w:rsid w:val="00705546"/>
    <w:rsid w:val="00706F62"/>
    <w:rsid w:val="00706F83"/>
    <w:rsid w:val="00714FC9"/>
    <w:rsid w:val="00715DC3"/>
    <w:rsid w:val="00716DD7"/>
    <w:rsid w:val="0072069E"/>
    <w:rsid w:val="00725105"/>
    <w:rsid w:val="007316B8"/>
    <w:rsid w:val="00731C5D"/>
    <w:rsid w:val="00732A41"/>
    <w:rsid w:val="00735ABD"/>
    <w:rsid w:val="007360EC"/>
    <w:rsid w:val="007365A4"/>
    <w:rsid w:val="007365BA"/>
    <w:rsid w:val="007378B1"/>
    <w:rsid w:val="00740F0E"/>
    <w:rsid w:val="0074480D"/>
    <w:rsid w:val="007457F5"/>
    <w:rsid w:val="007458AC"/>
    <w:rsid w:val="00750299"/>
    <w:rsid w:val="00751089"/>
    <w:rsid w:val="007532C9"/>
    <w:rsid w:val="007554EE"/>
    <w:rsid w:val="00760408"/>
    <w:rsid w:val="007608AA"/>
    <w:rsid w:val="007611DE"/>
    <w:rsid w:val="00773F13"/>
    <w:rsid w:val="007745FD"/>
    <w:rsid w:val="007757E2"/>
    <w:rsid w:val="00775EE0"/>
    <w:rsid w:val="00776B0C"/>
    <w:rsid w:val="0078102A"/>
    <w:rsid w:val="00781DB1"/>
    <w:rsid w:val="00782402"/>
    <w:rsid w:val="00784AF4"/>
    <w:rsid w:val="00787AA5"/>
    <w:rsid w:val="00787BE5"/>
    <w:rsid w:val="00791D25"/>
    <w:rsid w:val="007931C3"/>
    <w:rsid w:val="00795CE6"/>
    <w:rsid w:val="007A0151"/>
    <w:rsid w:val="007A0667"/>
    <w:rsid w:val="007A099F"/>
    <w:rsid w:val="007A1BE8"/>
    <w:rsid w:val="007A1D51"/>
    <w:rsid w:val="007A4D42"/>
    <w:rsid w:val="007A5316"/>
    <w:rsid w:val="007A5387"/>
    <w:rsid w:val="007A59D2"/>
    <w:rsid w:val="007A6809"/>
    <w:rsid w:val="007B49B4"/>
    <w:rsid w:val="007B4EC3"/>
    <w:rsid w:val="007B648E"/>
    <w:rsid w:val="007C1C42"/>
    <w:rsid w:val="007C5064"/>
    <w:rsid w:val="007C5F49"/>
    <w:rsid w:val="007D13D0"/>
    <w:rsid w:val="007D17F8"/>
    <w:rsid w:val="007D44DA"/>
    <w:rsid w:val="007D56EA"/>
    <w:rsid w:val="007D7256"/>
    <w:rsid w:val="007D7A19"/>
    <w:rsid w:val="007E00C7"/>
    <w:rsid w:val="007E0A53"/>
    <w:rsid w:val="007E5315"/>
    <w:rsid w:val="007E63C0"/>
    <w:rsid w:val="007F163B"/>
    <w:rsid w:val="007F352E"/>
    <w:rsid w:val="007F3FAB"/>
    <w:rsid w:val="007F7618"/>
    <w:rsid w:val="00801995"/>
    <w:rsid w:val="008035B9"/>
    <w:rsid w:val="008036F6"/>
    <w:rsid w:val="008066C8"/>
    <w:rsid w:val="00806D1F"/>
    <w:rsid w:val="008122CB"/>
    <w:rsid w:val="008166A2"/>
    <w:rsid w:val="008173B0"/>
    <w:rsid w:val="00817B30"/>
    <w:rsid w:val="00820181"/>
    <w:rsid w:val="00824678"/>
    <w:rsid w:val="00827D10"/>
    <w:rsid w:val="00833825"/>
    <w:rsid w:val="008352AC"/>
    <w:rsid w:val="00841C86"/>
    <w:rsid w:val="00843A7D"/>
    <w:rsid w:val="00844AE4"/>
    <w:rsid w:val="0084572C"/>
    <w:rsid w:val="00846240"/>
    <w:rsid w:val="00846434"/>
    <w:rsid w:val="00850BE5"/>
    <w:rsid w:val="0085709C"/>
    <w:rsid w:val="0086279E"/>
    <w:rsid w:val="008753AD"/>
    <w:rsid w:val="00876C3A"/>
    <w:rsid w:val="008829E7"/>
    <w:rsid w:val="008830E8"/>
    <w:rsid w:val="00883137"/>
    <w:rsid w:val="00884764"/>
    <w:rsid w:val="00885AA4"/>
    <w:rsid w:val="0088746E"/>
    <w:rsid w:val="00890719"/>
    <w:rsid w:val="00893215"/>
    <w:rsid w:val="00896A69"/>
    <w:rsid w:val="00897D80"/>
    <w:rsid w:val="008A0B37"/>
    <w:rsid w:val="008A0D14"/>
    <w:rsid w:val="008A1658"/>
    <w:rsid w:val="008A1CCC"/>
    <w:rsid w:val="008A305E"/>
    <w:rsid w:val="008A4DA7"/>
    <w:rsid w:val="008A5C14"/>
    <w:rsid w:val="008A5EC1"/>
    <w:rsid w:val="008B32C3"/>
    <w:rsid w:val="008B5C78"/>
    <w:rsid w:val="008B7E8F"/>
    <w:rsid w:val="008C175A"/>
    <w:rsid w:val="008C32B3"/>
    <w:rsid w:val="008C3D14"/>
    <w:rsid w:val="008C561F"/>
    <w:rsid w:val="008C7B15"/>
    <w:rsid w:val="008D33F1"/>
    <w:rsid w:val="008D3B83"/>
    <w:rsid w:val="008D4804"/>
    <w:rsid w:val="008D4E7E"/>
    <w:rsid w:val="008D5131"/>
    <w:rsid w:val="008D5EF0"/>
    <w:rsid w:val="008D5FA5"/>
    <w:rsid w:val="008E22B5"/>
    <w:rsid w:val="008E4D95"/>
    <w:rsid w:val="008E607C"/>
    <w:rsid w:val="008E70DC"/>
    <w:rsid w:val="008F000D"/>
    <w:rsid w:val="008F2BA0"/>
    <w:rsid w:val="008F7ADE"/>
    <w:rsid w:val="008F7D0C"/>
    <w:rsid w:val="00900B91"/>
    <w:rsid w:val="00903D41"/>
    <w:rsid w:val="0091003D"/>
    <w:rsid w:val="0091043F"/>
    <w:rsid w:val="00914F96"/>
    <w:rsid w:val="009220B3"/>
    <w:rsid w:val="009230AE"/>
    <w:rsid w:val="009233FC"/>
    <w:rsid w:val="00924F2B"/>
    <w:rsid w:val="0093310A"/>
    <w:rsid w:val="00941B00"/>
    <w:rsid w:val="00942887"/>
    <w:rsid w:val="00942AD3"/>
    <w:rsid w:val="00945B3B"/>
    <w:rsid w:val="00951D45"/>
    <w:rsid w:val="00960324"/>
    <w:rsid w:val="00961376"/>
    <w:rsid w:val="00961478"/>
    <w:rsid w:val="009618A8"/>
    <w:rsid w:val="00961AF4"/>
    <w:rsid w:val="0096307F"/>
    <w:rsid w:val="00966F05"/>
    <w:rsid w:val="00970B14"/>
    <w:rsid w:val="0097504F"/>
    <w:rsid w:val="0097691F"/>
    <w:rsid w:val="0098065A"/>
    <w:rsid w:val="00981A01"/>
    <w:rsid w:val="00981CEC"/>
    <w:rsid w:val="00983A40"/>
    <w:rsid w:val="00984116"/>
    <w:rsid w:val="00985029"/>
    <w:rsid w:val="00985CB7"/>
    <w:rsid w:val="00986490"/>
    <w:rsid w:val="00986538"/>
    <w:rsid w:val="00986E2E"/>
    <w:rsid w:val="009963BE"/>
    <w:rsid w:val="009A019D"/>
    <w:rsid w:val="009A20EA"/>
    <w:rsid w:val="009A31ED"/>
    <w:rsid w:val="009A52BF"/>
    <w:rsid w:val="009A5C40"/>
    <w:rsid w:val="009A6F49"/>
    <w:rsid w:val="009B16F6"/>
    <w:rsid w:val="009B2964"/>
    <w:rsid w:val="009B381E"/>
    <w:rsid w:val="009B45AB"/>
    <w:rsid w:val="009B5A89"/>
    <w:rsid w:val="009B739A"/>
    <w:rsid w:val="009C0A11"/>
    <w:rsid w:val="009C1608"/>
    <w:rsid w:val="009C38A0"/>
    <w:rsid w:val="009E19B2"/>
    <w:rsid w:val="009E5563"/>
    <w:rsid w:val="009E7375"/>
    <w:rsid w:val="009E7C35"/>
    <w:rsid w:val="009F0769"/>
    <w:rsid w:val="009F0953"/>
    <w:rsid w:val="009F22CB"/>
    <w:rsid w:val="009F3036"/>
    <w:rsid w:val="009F65AE"/>
    <w:rsid w:val="00A022E7"/>
    <w:rsid w:val="00A02D30"/>
    <w:rsid w:val="00A0669C"/>
    <w:rsid w:val="00A167CD"/>
    <w:rsid w:val="00A17ACB"/>
    <w:rsid w:val="00A2135E"/>
    <w:rsid w:val="00A3069C"/>
    <w:rsid w:val="00A31D42"/>
    <w:rsid w:val="00A32373"/>
    <w:rsid w:val="00A3369B"/>
    <w:rsid w:val="00A34FAE"/>
    <w:rsid w:val="00A37F9B"/>
    <w:rsid w:val="00A404F9"/>
    <w:rsid w:val="00A413D4"/>
    <w:rsid w:val="00A44716"/>
    <w:rsid w:val="00A44F56"/>
    <w:rsid w:val="00A464DA"/>
    <w:rsid w:val="00A46F68"/>
    <w:rsid w:val="00A47C12"/>
    <w:rsid w:val="00A52AA5"/>
    <w:rsid w:val="00A557C7"/>
    <w:rsid w:val="00A57329"/>
    <w:rsid w:val="00A5767B"/>
    <w:rsid w:val="00A57A5B"/>
    <w:rsid w:val="00A60E80"/>
    <w:rsid w:val="00A60ECC"/>
    <w:rsid w:val="00A64206"/>
    <w:rsid w:val="00A70EA5"/>
    <w:rsid w:val="00A723F0"/>
    <w:rsid w:val="00A727F5"/>
    <w:rsid w:val="00A76152"/>
    <w:rsid w:val="00A77562"/>
    <w:rsid w:val="00A77DBF"/>
    <w:rsid w:val="00A77DCE"/>
    <w:rsid w:val="00A829EA"/>
    <w:rsid w:val="00A82F1C"/>
    <w:rsid w:val="00A86FF8"/>
    <w:rsid w:val="00A918B2"/>
    <w:rsid w:val="00A965A0"/>
    <w:rsid w:val="00AA416E"/>
    <w:rsid w:val="00AA50ED"/>
    <w:rsid w:val="00AA5723"/>
    <w:rsid w:val="00AB304A"/>
    <w:rsid w:val="00AB5660"/>
    <w:rsid w:val="00AB694D"/>
    <w:rsid w:val="00AB71DD"/>
    <w:rsid w:val="00AB7856"/>
    <w:rsid w:val="00AC1978"/>
    <w:rsid w:val="00AC3B41"/>
    <w:rsid w:val="00AC5960"/>
    <w:rsid w:val="00AC68B5"/>
    <w:rsid w:val="00AD205E"/>
    <w:rsid w:val="00AD24C3"/>
    <w:rsid w:val="00AD2818"/>
    <w:rsid w:val="00AD45CB"/>
    <w:rsid w:val="00AD733A"/>
    <w:rsid w:val="00AE11DB"/>
    <w:rsid w:val="00AE3C41"/>
    <w:rsid w:val="00AF47E3"/>
    <w:rsid w:val="00B006E1"/>
    <w:rsid w:val="00B01984"/>
    <w:rsid w:val="00B0276A"/>
    <w:rsid w:val="00B035D3"/>
    <w:rsid w:val="00B04022"/>
    <w:rsid w:val="00B067FB"/>
    <w:rsid w:val="00B0786C"/>
    <w:rsid w:val="00B102D7"/>
    <w:rsid w:val="00B103AF"/>
    <w:rsid w:val="00B131C1"/>
    <w:rsid w:val="00B1386B"/>
    <w:rsid w:val="00B14EB5"/>
    <w:rsid w:val="00B1530E"/>
    <w:rsid w:val="00B15DAE"/>
    <w:rsid w:val="00B16E9F"/>
    <w:rsid w:val="00B2058F"/>
    <w:rsid w:val="00B212C6"/>
    <w:rsid w:val="00B23724"/>
    <w:rsid w:val="00B24201"/>
    <w:rsid w:val="00B246FD"/>
    <w:rsid w:val="00B24B60"/>
    <w:rsid w:val="00B25083"/>
    <w:rsid w:val="00B30FB2"/>
    <w:rsid w:val="00B3124E"/>
    <w:rsid w:val="00B376CC"/>
    <w:rsid w:val="00B37724"/>
    <w:rsid w:val="00B400E1"/>
    <w:rsid w:val="00B41CA3"/>
    <w:rsid w:val="00B46380"/>
    <w:rsid w:val="00B46F28"/>
    <w:rsid w:val="00B470B7"/>
    <w:rsid w:val="00B502C0"/>
    <w:rsid w:val="00B5077A"/>
    <w:rsid w:val="00B508BE"/>
    <w:rsid w:val="00B50AF3"/>
    <w:rsid w:val="00B51165"/>
    <w:rsid w:val="00B51F8D"/>
    <w:rsid w:val="00B53E58"/>
    <w:rsid w:val="00B57E67"/>
    <w:rsid w:val="00B615FE"/>
    <w:rsid w:val="00B616ED"/>
    <w:rsid w:val="00B6200D"/>
    <w:rsid w:val="00B66A37"/>
    <w:rsid w:val="00B67CE2"/>
    <w:rsid w:val="00B7227B"/>
    <w:rsid w:val="00B738D5"/>
    <w:rsid w:val="00B74EAE"/>
    <w:rsid w:val="00B760EE"/>
    <w:rsid w:val="00B77168"/>
    <w:rsid w:val="00B8038E"/>
    <w:rsid w:val="00B83B4F"/>
    <w:rsid w:val="00B83FF3"/>
    <w:rsid w:val="00B84655"/>
    <w:rsid w:val="00B857D9"/>
    <w:rsid w:val="00B9237F"/>
    <w:rsid w:val="00BA457A"/>
    <w:rsid w:val="00BA57CD"/>
    <w:rsid w:val="00BB1C6F"/>
    <w:rsid w:val="00BB2899"/>
    <w:rsid w:val="00BB433C"/>
    <w:rsid w:val="00BB4D4F"/>
    <w:rsid w:val="00BB70AC"/>
    <w:rsid w:val="00BC0A03"/>
    <w:rsid w:val="00BC4C0D"/>
    <w:rsid w:val="00BD0966"/>
    <w:rsid w:val="00BD10F3"/>
    <w:rsid w:val="00BD2727"/>
    <w:rsid w:val="00BD3EA8"/>
    <w:rsid w:val="00BD5365"/>
    <w:rsid w:val="00BD7F93"/>
    <w:rsid w:val="00BE0895"/>
    <w:rsid w:val="00BE1C4F"/>
    <w:rsid w:val="00BE2183"/>
    <w:rsid w:val="00BE2DC6"/>
    <w:rsid w:val="00BF202A"/>
    <w:rsid w:val="00BF2F94"/>
    <w:rsid w:val="00C00B5D"/>
    <w:rsid w:val="00C00FF7"/>
    <w:rsid w:val="00C02E66"/>
    <w:rsid w:val="00C05034"/>
    <w:rsid w:val="00C057C7"/>
    <w:rsid w:val="00C06EE8"/>
    <w:rsid w:val="00C10FBB"/>
    <w:rsid w:val="00C12F69"/>
    <w:rsid w:val="00C17C03"/>
    <w:rsid w:val="00C20403"/>
    <w:rsid w:val="00C20D8E"/>
    <w:rsid w:val="00C3256E"/>
    <w:rsid w:val="00C364DB"/>
    <w:rsid w:val="00C36CE2"/>
    <w:rsid w:val="00C37BB3"/>
    <w:rsid w:val="00C40015"/>
    <w:rsid w:val="00C45133"/>
    <w:rsid w:val="00C45592"/>
    <w:rsid w:val="00C45C05"/>
    <w:rsid w:val="00C46D40"/>
    <w:rsid w:val="00C471A3"/>
    <w:rsid w:val="00C5023A"/>
    <w:rsid w:val="00C517F7"/>
    <w:rsid w:val="00C51915"/>
    <w:rsid w:val="00C519B0"/>
    <w:rsid w:val="00C52299"/>
    <w:rsid w:val="00C55D0A"/>
    <w:rsid w:val="00C60B27"/>
    <w:rsid w:val="00C61F19"/>
    <w:rsid w:val="00C64ECC"/>
    <w:rsid w:val="00C72AA7"/>
    <w:rsid w:val="00C745B7"/>
    <w:rsid w:val="00C74AF7"/>
    <w:rsid w:val="00C76947"/>
    <w:rsid w:val="00C775DA"/>
    <w:rsid w:val="00C777A6"/>
    <w:rsid w:val="00C77E56"/>
    <w:rsid w:val="00C82506"/>
    <w:rsid w:val="00C82717"/>
    <w:rsid w:val="00C8475D"/>
    <w:rsid w:val="00C860F7"/>
    <w:rsid w:val="00C86208"/>
    <w:rsid w:val="00C870B2"/>
    <w:rsid w:val="00C90C58"/>
    <w:rsid w:val="00C946F0"/>
    <w:rsid w:val="00CA2A09"/>
    <w:rsid w:val="00CA4EF5"/>
    <w:rsid w:val="00CB0F06"/>
    <w:rsid w:val="00CB1F11"/>
    <w:rsid w:val="00CB50B7"/>
    <w:rsid w:val="00CB67DD"/>
    <w:rsid w:val="00CB6812"/>
    <w:rsid w:val="00CB6A5A"/>
    <w:rsid w:val="00CC06E9"/>
    <w:rsid w:val="00CC447C"/>
    <w:rsid w:val="00CC4C61"/>
    <w:rsid w:val="00CD5BB7"/>
    <w:rsid w:val="00CD7529"/>
    <w:rsid w:val="00CD77A1"/>
    <w:rsid w:val="00CD7B7F"/>
    <w:rsid w:val="00CE169A"/>
    <w:rsid w:val="00CE2644"/>
    <w:rsid w:val="00CE35A0"/>
    <w:rsid w:val="00CE495D"/>
    <w:rsid w:val="00CE5263"/>
    <w:rsid w:val="00CE75CC"/>
    <w:rsid w:val="00CF028B"/>
    <w:rsid w:val="00CF2E4D"/>
    <w:rsid w:val="00D01C40"/>
    <w:rsid w:val="00D01CCB"/>
    <w:rsid w:val="00D03356"/>
    <w:rsid w:val="00D04C84"/>
    <w:rsid w:val="00D0730F"/>
    <w:rsid w:val="00D10C98"/>
    <w:rsid w:val="00D135DD"/>
    <w:rsid w:val="00D15192"/>
    <w:rsid w:val="00D21DED"/>
    <w:rsid w:val="00D36195"/>
    <w:rsid w:val="00D36E98"/>
    <w:rsid w:val="00D4306A"/>
    <w:rsid w:val="00D432A4"/>
    <w:rsid w:val="00D43DC7"/>
    <w:rsid w:val="00D45A33"/>
    <w:rsid w:val="00D47517"/>
    <w:rsid w:val="00D504BB"/>
    <w:rsid w:val="00D55DC3"/>
    <w:rsid w:val="00D56AB7"/>
    <w:rsid w:val="00D57842"/>
    <w:rsid w:val="00D601F4"/>
    <w:rsid w:val="00D61C07"/>
    <w:rsid w:val="00D622E1"/>
    <w:rsid w:val="00D62BA9"/>
    <w:rsid w:val="00D6693A"/>
    <w:rsid w:val="00D70A58"/>
    <w:rsid w:val="00D73174"/>
    <w:rsid w:val="00D74780"/>
    <w:rsid w:val="00D75702"/>
    <w:rsid w:val="00D7612D"/>
    <w:rsid w:val="00D80048"/>
    <w:rsid w:val="00D81315"/>
    <w:rsid w:val="00D84D52"/>
    <w:rsid w:val="00D87246"/>
    <w:rsid w:val="00D9179B"/>
    <w:rsid w:val="00D929F8"/>
    <w:rsid w:val="00D9599D"/>
    <w:rsid w:val="00D9660E"/>
    <w:rsid w:val="00D97A12"/>
    <w:rsid w:val="00D97F2B"/>
    <w:rsid w:val="00DA0186"/>
    <w:rsid w:val="00DA0E5F"/>
    <w:rsid w:val="00DA3E0A"/>
    <w:rsid w:val="00DA49A6"/>
    <w:rsid w:val="00DB7F2C"/>
    <w:rsid w:val="00DC220B"/>
    <w:rsid w:val="00DC3ED6"/>
    <w:rsid w:val="00DC530D"/>
    <w:rsid w:val="00DC7697"/>
    <w:rsid w:val="00DE02C8"/>
    <w:rsid w:val="00DE2C5A"/>
    <w:rsid w:val="00DE585E"/>
    <w:rsid w:val="00DF15D6"/>
    <w:rsid w:val="00DF1B33"/>
    <w:rsid w:val="00DF1F30"/>
    <w:rsid w:val="00DF364B"/>
    <w:rsid w:val="00DF3F5C"/>
    <w:rsid w:val="00DF73E0"/>
    <w:rsid w:val="00E03422"/>
    <w:rsid w:val="00E0550E"/>
    <w:rsid w:val="00E059E3"/>
    <w:rsid w:val="00E06D56"/>
    <w:rsid w:val="00E10288"/>
    <w:rsid w:val="00E10C7F"/>
    <w:rsid w:val="00E1445F"/>
    <w:rsid w:val="00E14D8A"/>
    <w:rsid w:val="00E20BB1"/>
    <w:rsid w:val="00E228E6"/>
    <w:rsid w:val="00E277BC"/>
    <w:rsid w:val="00E321C3"/>
    <w:rsid w:val="00E338C2"/>
    <w:rsid w:val="00E34AA0"/>
    <w:rsid w:val="00E34B0E"/>
    <w:rsid w:val="00E36E7D"/>
    <w:rsid w:val="00E40A84"/>
    <w:rsid w:val="00E4421B"/>
    <w:rsid w:val="00E45B8D"/>
    <w:rsid w:val="00E46228"/>
    <w:rsid w:val="00E515D5"/>
    <w:rsid w:val="00E52355"/>
    <w:rsid w:val="00E523CA"/>
    <w:rsid w:val="00E52968"/>
    <w:rsid w:val="00E57842"/>
    <w:rsid w:val="00E60058"/>
    <w:rsid w:val="00E60FBF"/>
    <w:rsid w:val="00E618D0"/>
    <w:rsid w:val="00E623FE"/>
    <w:rsid w:val="00E62681"/>
    <w:rsid w:val="00E63185"/>
    <w:rsid w:val="00E63CD8"/>
    <w:rsid w:val="00E700B1"/>
    <w:rsid w:val="00E71094"/>
    <w:rsid w:val="00E7255D"/>
    <w:rsid w:val="00E73157"/>
    <w:rsid w:val="00E73614"/>
    <w:rsid w:val="00E74D18"/>
    <w:rsid w:val="00E7500C"/>
    <w:rsid w:val="00E76F77"/>
    <w:rsid w:val="00E80901"/>
    <w:rsid w:val="00E83415"/>
    <w:rsid w:val="00E84D42"/>
    <w:rsid w:val="00E85FD1"/>
    <w:rsid w:val="00E87EDA"/>
    <w:rsid w:val="00E90DA3"/>
    <w:rsid w:val="00E9118B"/>
    <w:rsid w:val="00E91866"/>
    <w:rsid w:val="00E92043"/>
    <w:rsid w:val="00E966C1"/>
    <w:rsid w:val="00E9680A"/>
    <w:rsid w:val="00E9788E"/>
    <w:rsid w:val="00EA0FAD"/>
    <w:rsid w:val="00EA262D"/>
    <w:rsid w:val="00EA2C49"/>
    <w:rsid w:val="00EA5324"/>
    <w:rsid w:val="00EA7085"/>
    <w:rsid w:val="00EA7380"/>
    <w:rsid w:val="00EA7B9C"/>
    <w:rsid w:val="00EB2F28"/>
    <w:rsid w:val="00EB3950"/>
    <w:rsid w:val="00EB425E"/>
    <w:rsid w:val="00EC0480"/>
    <w:rsid w:val="00EC15F2"/>
    <w:rsid w:val="00EC16F5"/>
    <w:rsid w:val="00EC1732"/>
    <w:rsid w:val="00EC7DEC"/>
    <w:rsid w:val="00EC7FA9"/>
    <w:rsid w:val="00ED3450"/>
    <w:rsid w:val="00ED6B31"/>
    <w:rsid w:val="00EE32CE"/>
    <w:rsid w:val="00EF063B"/>
    <w:rsid w:val="00EF5AC9"/>
    <w:rsid w:val="00EF71B0"/>
    <w:rsid w:val="00EF71E1"/>
    <w:rsid w:val="00F026AA"/>
    <w:rsid w:val="00F027B8"/>
    <w:rsid w:val="00F02B9C"/>
    <w:rsid w:val="00F03B72"/>
    <w:rsid w:val="00F03C54"/>
    <w:rsid w:val="00F07CC3"/>
    <w:rsid w:val="00F1162F"/>
    <w:rsid w:val="00F12429"/>
    <w:rsid w:val="00F138EB"/>
    <w:rsid w:val="00F13CD2"/>
    <w:rsid w:val="00F14566"/>
    <w:rsid w:val="00F2088F"/>
    <w:rsid w:val="00F229DC"/>
    <w:rsid w:val="00F3016D"/>
    <w:rsid w:val="00F31BE9"/>
    <w:rsid w:val="00F32675"/>
    <w:rsid w:val="00F32C41"/>
    <w:rsid w:val="00F33974"/>
    <w:rsid w:val="00F40EE2"/>
    <w:rsid w:val="00F42972"/>
    <w:rsid w:val="00F43102"/>
    <w:rsid w:val="00F45969"/>
    <w:rsid w:val="00F473D6"/>
    <w:rsid w:val="00F47CC7"/>
    <w:rsid w:val="00F50E98"/>
    <w:rsid w:val="00F51ED5"/>
    <w:rsid w:val="00F5226D"/>
    <w:rsid w:val="00F541C9"/>
    <w:rsid w:val="00F55FCA"/>
    <w:rsid w:val="00F56C36"/>
    <w:rsid w:val="00F57E92"/>
    <w:rsid w:val="00F616CA"/>
    <w:rsid w:val="00F61701"/>
    <w:rsid w:val="00F62910"/>
    <w:rsid w:val="00F63D75"/>
    <w:rsid w:val="00F66213"/>
    <w:rsid w:val="00F6799C"/>
    <w:rsid w:val="00F708B3"/>
    <w:rsid w:val="00F71E23"/>
    <w:rsid w:val="00F7303C"/>
    <w:rsid w:val="00F74B7A"/>
    <w:rsid w:val="00F75451"/>
    <w:rsid w:val="00F75BEC"/>
    <w:rsid w:val="00F801A7"/>
    <w:rsid w:val="00F807AB"/>
    <w:rsid w:val="00F80B29"/>
    <w:rsid w:val="00F824E4"/>
    <w:rsid w:val="00F84658"/>
    <w:rsid w:val="00F854CD"/>
    <w:rsid w:val="00F90A75"/>
    <w:rsid w:val="00F915BC"/>
    <w:rsid w:val="00F9366A"/>
    <w:rsid w:val="00F94481"/>
    <w:rsid w:val="00FA0619"/>
    <w:rsid w:val="00FA25B4"/>
    <w:rsid w:val="00FA36A9"/>
    <w:rsid w:val="00FA530E"/>
    <w:rsid w:val="00FA60CC"/>
    <w:rsid w:val="00FA6A10"/>
    <w:rsid w:val="00FB24BD"/>
    <w:rsid w:val="00FB25F5"/>
    <w:rsid w:val="00FB32B5"/>
    <w:rsid w:val="00FB4205"/>
    <w:rsid w:val="00FB656F"/>
    <w:rsid w:val="00FC5127"/>
    <w:rsid w:val="00FC732F"/>
    <w:rsid w:val="00FD0525"/>
    <w:rsid w:val="00FD0BDE"/>
    <w:rsid w:val="00FD0FD6"/>
    <w:rsid w:val="00FD1719"/>
    <w:rsid w:val="00FD364D"/>
    <w:rsid w:val="00FD4540"/>
    <w:rsid w:val="00FD58CC"/>
    <w:rsid w:val="00FE0AA0"/>
    <w:rsid w:val="00FE21DE"/>
    <w:rsid w:val="00FE539B"/>
    <w:rsid w:val="00FE74B9"/>
    <w:rsid w:val="00FE78B9"/>
    <w:rsid w:val="00FE7A8E"/>
    <w:rsid w:val="00FE7AD2"/>
    <w:rsid w:val="00FF0D00"/>
    <w:rsid w:val="00FF38CA"/>
    <w:rsid w:val="00FF5CF4"/>
    <w:rsid w:val="016E2F6B"/>
    <w:rsid w:val="02FE3DB3"/>
    <w:rsid w:val="047F0FEB"/>
    <w:rsid w:val="0A1E12A6"/>
    <w:rsid w:val="0CDF044F"/>
    <w:rsid w:val="0CFB767D"/>
    <w:rsid w:val="1189002B"/>
    <w:rsid w:val="13BD743A"/>
    <w:rsid w:val="14333BA0"/>
    <w:rsid w:val="171E4631"/>
    <w:rsid w:val="17836BED"/>
    <w:rsid w:val="1A4A1C04"/>
    <w:rsid w:val="1AF916A0"/>
    <w:rsid w:val="1B03607B"/>
    <w:rsid w:val="1BB05AD7"/>
    <w:rsid w:val="1CC950A2"/>
    <w:rsid w:val="1D13456F"/>
    <w:rsid w:val="20047067"/>
    <w:rsid w:val="285A3949"/>
    <w:rsid w:val="2B3B360F"/>
    <w:rsid w:val="2E1B06E1"/>
    <w:rsid w:val="2F854E58"/>
    <w:rsid w:val="2FA572A9"/>
    <w:rsid w:val="305C2F2B"/>
    <w:rsid w:val="308B5C58"/>
    <w:rsid w:val="35173585"/>
    <w:rsid w:val="352B0250"/>
    <w:rsid w:val="35A574A3"/>
    <w:rsid w:val="362F3C26"/>
    <w:rsid w:val="3774424E"/>
    <w:rsid w:val="37B3452D"/>
    <w:rsid w:val="394B7113"/>
    <w:rsid w:val="3F450160"/>
    <w:rsid w:val="3FFDFD61"/>
    <w:rsid w:val="470D5A07"/>
    <w:rsid w:val="486355C7"/>
    <w:rsid w:val="48CC544E"/>
    <w:rsid w:val="4A562D94"/>
    <w:rsid w:val="4A5A15D8"/>
    <w:rsid w:val="4ACC527C"/>
    <w:rsid w:val="4BB01057"/>
    <w:rsid w:val="4C5E0AB3"/>
    <w:rsid w:val="4EAC01FC"/>
    <w:rsid w:val="4F5148FF"/>
    <w:rsid w:val="50A849F3"/>
    <w:rsid w:val="52F65470"/>
    <w:rsid w:val="56E30533"/>
    <w:rsid w:val="57E26A3C"/>
    <w:rsid w:val="583F79EB"/>
    <w:rsid w:val="59955F8D"/>
    <w:rsid w:val="5A4F5EDF"/>
    <w:rsid w:val="5E337FF2"/>
    <w:rsid w:val="5FC85553"/>
    <w:rsid w:val="60696724"/>
    <w:rsid w:val="61047A23"/>
    <w:rsid w:val="614E6EF1"/>
    <w:rsid w:val="618C17C7"/>
    <w:rsid w:val="624520A2"/>
    <w:rsid w:val="63073F27"/>
    <w:rsid w:val="64682077"/>
    <w:rsid w:val="651A62B7"/>
    <w:rsid w:val="69611E23"/>
    <w:rsid w:val="6B256F14"/>
    <w:rsid w:val="6B673089"/>
    <w:rsid w:val="6D7B1CDD"/>
    <w:rsid w:val="6E2B2A93"/>
    <w:rsid w:val="707B2701"/>
    <w:rsid w:val="70EE7DA8"/>
    <w:rsid w:val="71EC6339"/>
    <w:rsid w:val="73F40CA0"/>
    <w:rsid w:val="74273CFD"/>
    <w:rsid w:val="7B615D46"/>
    <w:rsid w:val="7CBC51FE"/>
    <w:rsid w:val="7D0D15B6"/>
    <w:rsid w:val="7F7642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f">
      <v:fill on="t" focussize="0,0"/>
      <v:stroke on="f"/>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semiHidden="0" w:name="heading 5"/>
    <w:lsdException w:qFormat="1" w:uiPriority="9" w:name="heading 6"/>
    <w:lsdException w:qFormat="1" w:uiPriority="9" w:name="heading 7"/>
    <w:lsdException w:unhideWhenUsed="0" w:uiPriority="0" w:semiHidden="0" w:name="heading 8"/>
    <w:lsdException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iPriority="39" w:name="toc 5"/>
    <w:lsdException w:uiPriority="39" w:name="toc 6"/>
    <w:lsdException w:uiPriority="39" w:name="toc 7"/>
    <w:lsdException w:qFormat="1" w:unhideWhenUsed="0" w:uiPriority="0" w:semiHidden="0" w:name="toc 8"/>
    <w:lsdException w:uiPriority="39" w:name="toc 9"/>
    <w:lsdException w:qFormat="1" w:uiPriority="0" w:semiHidden="0" w:name="Normal Indent"/>
    <w:lsdException w:uiPriority="99" w:name="footnote text"/>
    <w:lsdException w:qFormat="1" w:uiPriority="99" w:semiHidden="0" w:name="annotation text"/>
    <w:lsdException w:qFormat="1" w:uiPriority="0" w:semiHidden="0" w:name="header"/>
    <w:lsdException w:qFormat="1" w:unhideWhenUsed="0"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39"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line="360" w:lineRule="auto"/>
      <w:ind w:firstLine="480" w:firstLineChars="200"/>
      <w:jc w:val="both"/>
    </w:pPr>
    <w:rPr>
      <w:rFonts w:ascii="Times New Roman" w:hAnsi="Times New Roman" w:eastAsia="宋体" w:cs="Times New Roman"/>
      <w:kern w:val="2"/>
      <w:sz w:val="24"/>
      <w:szCs w:val="24"/>
      <w:lang w:val="en-US" w:eastAsia="zh-CN" w:bidi="ar-SA"/>
    </w:rPr>
  </w:style>
  <w:style w:type="paragraph" w:styleId="2">
    <w:name w:val="heading 1"/>
    <w:basedOn w:val="1"/>
    <w:next w:val="3"/>
    <w:link w:val="78"/>
    <w:qFormat/>
    <w:uiPriority w:val="0"/>
    <w:pPr>
      <w:keepNext/>
      <w:numPr>
        <w:ilvl w:val="0"/>
        <w:numId w:val="1"/>
      </w:numPr>
      <w:spacing w:before="50" w:beforeLines="50" w:after="50" w:afterLines="50"/>
      <w:ind w:left="0" w:firstLine="0" w:firstLineChars="0"/>
      <w:jc w:val="left"/>
      <w:outlineLvl w:val="0"/>
    </w:pPr>
    <w:rPr>
      <w:rFonts w:ascii="黑体" w:eastAsia="黑体"/>
      <w:color w:val="000000"/>
    </w:rPr>
  </w:style>
  <w:style w:type="paragraph" w:styleId="4">
    <w:name w:val="heading 2"/>
    <w:basedOn w:val="1"/>
    <w:next w:val="3"/>
    <w:link w:val="79"/>
    <w:qFormat/>
    <w:uiPriority w:val="0"/>
    <w:pPr>
      <w:keepNext/>
      <w:keepLines/>
      <w:numPr>
        <w:ilvl w:val="1"/>
        <w:numId w:val="1"/>
      </w:numPr>
      <w:tabs>
        <w:tab w:val="left" w:pos="567"/>
      </w:tabs>
      <w:ind w:left="0" w:firstLine="0" w:firstLineChars="0"/>
      <w:jc w:val="left"/>
      <w:outlineLvl w:val="1"/>
    </w:pPr>
    <w:rPr>
      <w:b/>
      <w:kern w:val="0"/>
    </w:rPr>
  </w:style>
  <w:style w:type="paragraph" w:styleId="5">
    <w:name w:val="heading 3"/>
    <w:basedOn w:val="1"/>
    <w:next w:val="3"/>
    <w:link w:val="80"/>
    <w:qFormat/>
    <w:uiPriority w:val="0"/>
    <w:pPr>
      <w:keepNext/>
      <w:keepLines/>
      <w:numPr>
        <w:ilvl w:val="2"/>
        <w:numId w:val="1"/>
      </w:numPr>
      <w:ind w:left="0" w:firstLine="0" w:firstLineChars="0"/>
      <w:outlineLvl w:val="2"/>
    </w:pPr>
    <w:rPr>
      <w:b/>
      <w:bCs/>
      <w:szCs w:val="21"/>
    </w:rPr>
  </w:style>
  <w:style w:type="paragraph" w:styleId="6">
    <w:name w:val="heading 4"/>
    <w:basedOn w:val="1"/>
    <w:next w:val="1"/>
    <w:link w:val="113"/>
    <w:qFormat/>
    <w:uiPriority w:val="0"/>
    <w:pPr>
      <w:keepNext/>
      <w:keepLines/>
      <w:numPr>
        <w:ilvl w:val="3"/>
        <w:numId w:val="1"/>
      </w:numPr>
      <w:tabs>
        <w:tab w:val="left" w:pos="851"/>
      </w:tabs>
      <w:ind w:left="0" w:firstLine="0" w:firstLineChars="0"/>
      <w:jc w:val="left"/>
      <w:outlineLvl w:val="3"/>
    </w:pPr>
    <w:rPr>
      <w:b/>
    </w:rPr>
  </w:style>
  <w:style w:type="paragraph" w:styleId="7">
    <w:name w:val="heading 5"/>
    <w:basedOn w:val="1"/>
    <w:next w:val="1"/>
    <w:unhideWhenUsed/>
    <w:qFormat/>
    <w:uiPriority w:val="9"/>
    <w:pPr>
      <w:keepNext/>
      <w:keepLines/>
      <w:numPr>
        <w:ilvl w:val="4"/>
        <w:numId w:val="1"/>
      </w:numPr>
      <w:ind w:firstLine="0" w:firstLineChars="0"/>
      <w:outlineLvl w:val="4"/>
    </w:pPr>
    <w:rPr>
      <w:b/>
    </w:rPr>
  </w:style>
  <w:style w:type="paragraph" w:styleId="8">
    <w:name w:val="heading 6"/>
    <w:basedOn w:val="1"/>
    <w:next w:val="1"/>
    <w:link w:val="127"/>
    <w:semiHidden/>
    <w:unhideWhenUsed/>
    <w:qFormat/>
    <w:uiPriority w:val="9"/>
    <w:pPr>
      <w:keepNext/>
      <w:keepLines/>
      <w:numPr>
        <w:ilvl w:val="5"/>
        <w:numId w:val="1"/>
      </w:numPr>
      <w:spacing w:before="240" w:after="64" w:line="320" w:lineRule="auto"/>
      <w:outlineLvl w:val="5"/>
    </w:pPr>
    <w:rPr>
      <w:rFonts w:asciiTheme="majorHAnsi" w:hAnsiTheme="majorHAnsi" w:eastAsiaTheme="majorEastAsia" w:cstheme="majorBidi"/>
      <w:b/>
      <w:bCs/>
    </w:rPr>
  </w:style>
  <w:style w:type="paragraph" w:styleId="9">
    <w:name w:val="heading 7"/>
    <w:basedOn w:val="1"/>
    <w:next w:val="1"/>
    <w:link w:val="128"/>
    <w:semiHidden/>
    <w:unhideWhenUsed/>
    <w:qFormat/>
    <w:uiPriority w:val="9"/>
    <w:pPr>
      <w:keepNext/>
      <w:keepLines/>
      <w:numPr>
        <w:ilvl w:val="6"/>
        <w:numId w:val="1"/>
      </w:numPr>
      <w:spacing w:before="240" w:after="64" w:line="320" w:lineRule="auto"/>
      <w:outlineLvl w:val="6"/>
    </w:pPr>
    <w:rPr>
      <w:b/>
      <w:bCs/>
    </w:rPr>
  </w:style>
  <w:style w:type="paragraph" w:styleId="10">
    <w:name w:val="heading 8"/>
    <w:basedOn w:val="1"/>
    <w:next w:val="1"/>
    <w:link w:val="114"/>
    <w:uiPriority w:val="0"/>
    <w:pPr>
      <w:keepNext/>
      <w:keepLines/>
      <w:numPr>
        <w:ilvl w:val="7"/>
        <w:numId w:val="1"/>
      </w:numPr>
      <w:spacing w:before="240" w:after="64" w:line="317" w:lineRule="auto"/>
      <w:outlineLvl w:val="7"/>
    </w:pPr>
    <w:rPr>
      <w:rFonts w:ascii="Arial" w:hAnsi="Arial" w:eastAsia="黑体"/>
      <w:sz w:val="28"/>
    </w:rPr>
  </w:style>
  <w:style w:type="paragraph" w:styleId="11">
    <w:name w:val="heading 9"/>
    <w:basedOn w:val="1"/>
    <w:next w:val="1"/>
    <w:link w:val="115"/>
    <w:uiPriority w:val="0"/>
    <w:pPr>
      <w:keepNext/>
      <w:keepLines/>
      <w:numPr>
        <w:ilvl w:val="8"/>
        <w:numId w:val="1"/>
      </w:numPr>
      <w:spacing w:before="240" w:after="64" w:line="317" w:lineRule="auto"/>
      <w:outlineLvl w:val="8"/>
    </w:pPr>
    <w:rPr>
      <w:rFonts w:ascii="Arial" w:hAnsi="Arial" w:eastAsia="黑体"/>
    </w:rPr>
  </w:style>
  <w:style w:type="character" w:default="1" w:styleId="29">
    <w:name w:val="Default Paragraph Font"/>
    <w:semiHidden/>
    <w:unhideWhenUsed/>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104"/>
    <w:qFormat/>
    <w:uiPriority w:val="0"/>
    <w:pPr>
      <w:spacing w:before="180" w:after="180"/>
    </w:pPr>
  </w:style>
  <w:style w:type="paragraph" w:styleId="12">
    <w:name w:val="Normal Indent"/>
    <w:basedOn w:val="1"/>
    <w:unhideWhenUsed/>
    <w:qFormat/>
    <w:uiPriority w:val="0"/>
    <w:pPr>
      <w:ind w:firstLine="420"/>
    </w:pPr>
  </w:style>
  <w:style w:type="paragraph" w:styleId="13">
    <w:name w:val="caption"/>
    <w:basedOn w:val="1"/>
    <w:next w:val="1"/>
    <w:qFormat/>
    <w:uiPriority w:val="0"/>
    <w:pPr>
      <w:ind w:firstLine="420"/>
      <w:jc w:val="center"/>
    </w:pPr>
    <w:rPr>
      <w:rFonts w:ascii="黑体" w:hAnsi="黑体" w:eastAsia="黑体"/>
      <w:sz w:val="21"/>
      <w:szCs w:val="21"/>
    </w:rPr>
  </w:style>
  <w:style w:type="paragraph" w:styleId="14">
    <w:name w:val="annotation text"/>
    <w:basedOn w:val="1"/>
    <w:link w:val="89"/>
    <w:unhideWhenUsed/>
    <w:qFormat/>
    <w:uiPriority w:val="99"/>
    <w:pPr>
      <w:jc w:val="left"/>
    </w:pPr>
  </w:style>
  <w:style w:type="paragraph" w:styleId="15">
    <w:name w:val="toc 3"/>
    <w:basedOn w:val="1"/>
    <w:next w:val="1"/>
    <w:qFormat/>
    <w:uiPriority w:val="39"/>
    <w:pPr>
      <w:ind w:left="840" w:leftChars="400"/>
    </w:pPr>
  </w:style>
  <w:style w:type="paragraph" w:styleId="16">
    <w:name w:val="Plain Text"/>
    <w:basedOn w:val="1"/>
    <w:link w:val="40"/>
    <w:uiPriority w:val="0"/>
    <w:pPr>
      <w:ind w:firstLine="0"/>
    </w:pPr>
    <w:rPr>
      <w:rFonts w:hAnsi="Courier New"/>
      <w:sz w:val="21"/>
    </w:rPr>
  </w:style>
  <w:style w:type="paragraph" w:styleId="17">
    <w:name w:val="toc 8"/>
    <w:basedOn w:val="1"/>
    <w:next w:val="1"/>
    <w:qFormat/>
    <w:uiPriority w:val="0"/>
    <w:pPr>
      <w:tabs>
        <w:tab w:val="right" w:leader="dot" w:pos="8302"/>
      </w:tabs>
    </w:pPr>
  </w:style>
  <w:style w:type="paragraph" w:styleId="18">
    <w:name w:val="Date"/>
    <w:basedOn w:val="1"/>
    <w:next w:val="1"/>
    <w:link w:val="136"/>
    <w:semiHidden/>
    <w:unhideWhenUsed/>
    <w:uiPriority w:val="99"/>
    <w:pPr>
      <w:ind w:left="100" w:leftChars="2500"/>
    </w:pPr>
  </w:style>
  <w:style w:type="paragraph" w:styleId="19">
    <w:name w:val="Balloon Text"/>
    <w:basedOn w:val="1"/>
    <w:link w:val="38"/>
    <w:unhideWhenUsed/>
    <w:qFormat/>
    <w:uiPriority w:val="0"/>
    <w:rPr>
      <w:sz w:val="18"/>
      <w:szCs w:val="18"/>
    </w:rPr>
  </w:style>
  <w:style w:type="paragraph" w:styleId="20">
    <w:name w:val="footer"/>
    <w:basedOn w:val="1"/>
    <w:link w:val="37"/>
    <w:qFormat/>
    <w:uiPriority w:val="99"/>
    <w:pPr>
      <w:tabs>
        <w:tab w:val="center" w:pos="4153"/>
        <w:tab w:val="right" w:pos="8306"/>
      </w:tabs>
      <w:jc w:val="left"/>
    </w:pPr>
    <w:rPr>
      <w:sz w:val="18"/>
    </w:rPr>
  </w:style>
  <w:style w:type="paragraph" w:styleId="21">
    <w:name w:val="header"/>
    <w:basedOn w:val="1"/>
    <w:link w:val="39"/>
    <w:unhideWhenUsed/>
    <w:qFormat/>
    <w:uiPriority w:val="0"/>
    <w:pPr>
      <w:pBdr>
        <w:bottom w:val="single" w:color="auto" w:sz="6" w:space="1"/>
      </w:pBdr>
      <w:tabs>
        <w:tab w:val="center" w:pos="4153"/>
        <w:tab w:val="right" w:pos="8306"/>
      </w:tabs>
      <w:jc w:val="center"/>
    </w:pPr>
    <w:rPr>
      <w:sz w:val="18"/>
      <w:szCs w:val="18"/>
    </w:rPr>
  </w:style>
  <w:style w:type="paragraph" w:styleId="22">
    <w:name w:val="toc 1"/>
    <w:basedOn w:val="1"/>
    <w:next w:val="1"/>
    <w:qFormat/>
    <w:uiPriority w:val="39"/>
    <w:pPr>
      <w:tabs>
        <w:tab w:val="left" w:pos="210"/>
        <w:tab w:val="right" w:leader="dot" w:pos="8302"/>
      </w:tabs>
    </w:pPr>
  </w:style>
  <w:style w:type="paragraph" w:styleId="23">
    <w:name w:val="toc 4"/>
    <w:basedOn w:val="1"/>
    <w:next w:val="1"/>
    <w:uiPriority w:val="0"/>
    <w:pPr>
      <w:ind w:left="1260" w:leftChars="600"/>
    </w:pPr>
  </w:style>
  <w:style w:type="paragraph" w:styleId="24">
    <w:name w:val="toc 2"/>
    <w:basedOn w:val="1"/>
    <w:next w:val="1"/>
    <w:qFormat/>
    <w:uiPriority w:val="39"/>
    <w:pPr>
      <w:tabs>
        <w:tab w:val="left" w:pos="720"/>
        <w:tab w:val="right" w:leader="dot" w:pos="8302"/>
      </w:tabs>
    </w:pPr>
  </w:style>
  <w:style w:type="paragraph" w:styleId="25">
    <w:name w:val="Normal (Web)"/>
    <w:qFormat/>
    <w:uiPriority w:val="0"/>
    <w:pPr>
      <w:widowControl w:val="0"/>
      <w:jc w:val="both"/>
    </w:pPr>
    <w:rPr>
      <w:rFonts w:ascii="Times New Roman" w:hAnsi="Times New Roman" w:eastAsia="宋体" w:cs="Times New Roman"/>
      <w:kern w:val="2"/>
      <w:sz w:val="24"/>
      <w:szCs w:val="24"/>
      <w:lang w:val="en-US" w:eastAsia="zh-CN" w:bidi="ar-SA"/>
    </w:rPr>
  </w:style>
  <w:style w:type="paragraph" w:styleId="26">
    <w:name w:val="annotation subject"/>
    <w:basedOn w:val="14"/>
    <w:next w:val="14"/>
    <w:link w:val="90"/>
    <w:semiHidden/>
    <w:unhideWhenUsed/>
    <w:qFormat/>
    <w:uiPriority w:val="99"/>
    <w:rPr>
      <w:b/>
      <w:bCs/>
    </w:rPr>
  </w:style>
  <w:style w:type="table" w:styleId="28">
    <w:name w:val="Table Grid"/>
    <w:basedOn w:val="27"/>
    <w:qFormat/>
    <w:uiPriority w:val="39"/>
    <w:rPr>
      <w:rFonts w:ascii="Calibri" w:hAnsi="Calibr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22"/>
    <w:rPr>
      <w:b/>
    </w:rPr>
  </w:style>
  <w:style w:type="character" w:styleId="31">
    <w:name w:val="FollowedHyperlink"/>
    <w:basedOn w:val="29"/>
    <w:semiHidden/>
    <w:unhideWhenUsed/>
    <w:uiPriority w:val="99"/>
    <w:rPr>
      <w:color w:val="954F72" w:themeColor="followedHyperlink"/>
      <w:u w:val="single"/>
      <w14:textFill>
        <w14:solidFill>
          <w14:schemeClr w14:val="folHlink"/>
        </w14:solidFill>
      </w14:textFill>
    </w:rPr>
  </w:style>
  <w:style w:type="character" w:styleId="32">
    <w:name w:val="Hyperlink"/>
    <w:qFormat/>
    <w:uiPriority w:val="99"/>
    <w:rPr>
      <w:color w:val="0000FF"/>
      <w:u w:val="single"/>
    </w:rPr>
  </w:style>
  <w:style w:type="character" w:styleId="33">
    <w:name w:val="annotation reference"/>
    <w:semiHidden/>
    <w:unhideWhenUsed/>
    <w:qFormat/>
    <w:uiPriority w:val="0"/>
    <w:rPr>
      <w:sz w:val="21"/>
      <w:szCs w:val="21"/>
    </w:rPr>
  </w:style>
  <w:style w:type="character" w:customStyle="1" w:styleId="34">
    <w:name w:val="占位符文本1"/>
    <w:qFormat/>
    <w:uiPriority w:val="0"/>
    <w:rPr>
      <w:color w:val="808080"/>
    </w:rPr>
  </w:style>
  <w:style w:type="character" w:customStyle="1" w:styleId="35">
    <w:name w:val="不明显强调1"/>
    <w:qFormat/>
    <w:uiPriority w:val="0"/>
    <w:rPr>
      <w:i/>
      <w:color w:val="7F7F7F"/>
    </w:rPr>
  </w:style>
  <w:style w:type="character" w:customStyle="1" w:styleId="36">
    <w:name w:val="页码1"/>
    <w:basedOn w:val="29"/>
    <w:qFormat/>
    <w:uiPriority w:val="0"/>
  </w:style>
  <w:style w:type="character" w:customStyle="1" w:styleId="37">
    <w:name w:val="页脚 字符"/>
    <w:link w:val="20"/>
    <w:qFormat/>
    <w:uiPriority w:val="99"/>
    <w:rPr>
      <w:kern w:val="2"/>
      <w:sz w:val="18"/>
    </w:rPr>
  </w:style>
  <w:style w:type="character" w:customStyle="1" w:styleId="38">
    <w:name w:val="批注框文本 字符"/>
    <w:link w:val="19"/>
    <w:qFormat/>
    <w:uiPriority w:val="0"/>
    <w:rPr>
      <w:kern w:val="2"/>
      <w:sz w:val="18"/>
      <w:szCs w:val="18"/>
    </w:rPr>
  </w:style>
  <w:style w:type="character" w:customStyle="1" w:styleId="39">
    <w:name w:val="页眉 字符"/>
    <w:link w:val="21"/>
    <w:qFormat/>
    <w:uiPriority w:val="0"/>
    <w:rPr>
      <w:kern w:val="2"/>
      <w:sz w:val="18"/>
      <w:szCs w:val="18"/>
    </w:rPr>
  </w:style>
  <w:style w:type="character" w:customStyle="1" w:styleId="40">
    <w:name w:val="纯文本 字符"/>
    <w:link w:val="16"/>
    <w:qFormat/>
    <w:uiPriority w:val="0"/>
    <w:rPr>
      <w:rFonts w:ascii="宋体" w:hAnsi="Courier New"/>
      <w:kern w:val="2"/>
      <w:sz w:val="21"/>
    </w:rPr>
  </w:style>
  <w:style w:type="character" w:customStyle="1" w:styleId="41">
    <w:name w:val="正文文本 Char"/>
    <w:link w:val="42"/>
    <w:qFormat/>
    <w:uiPriority w:val="0"/>
    <w:rPr>
      <w:rFonts w:eastAsia="宋体"/>
      <w:kern w:val="2"/>
      <w:sz w:val="21"/>
      <w:lang w:val="en-US" w:eastAsia="zh-CN"/>
    </w:rPr>
  </w:style>
  <w:style w:type="paragraph" w:customStyle="1" w:styleId="42">
    <w:name w:val="正文文本1"/>
    <w:basedOn w:val="1"/>
    <w:link w:val="41"/>
    <w:qFormat/>
    <w:uiPriority w:val="0"/>
    <w:pPr>
      <w:spacing w:after="120"/>
    </w:pPr>
    <w:rPr>
      <w:sz w:val="21"/>
    </w:rPr>
  </w:style>
  <w:style w:type="character" w:customStyle="1" w:styleId="43">
    <w:name w:val="Body text|2_"/>
    <w:link w:val="44"/>
    <w:qFormat/>
    <w:uiPriority w:val="0"/>
    <w:rPr>
      <w:rFonts w:ascii="PMingLiU" w:hAnsi="PMingLiU" w:eastAsia="PMingLiU"/>
      <w:color w:val="000000"/>
      <w:spacing w:val="20"/>
      <w:sz w:val="18"/>
      <w:shd w:val="clear" w:color="auto" w:fill="FFFFFF"/>
      <w:lang w:val="zh-CN"/>
    </w:rPr>
  </w:style>
  <w:style w:type="paragraph" w:customStyle="1" w:styleId="44">
    <w:name w:val="Body text|21"/>
    <w:basedOn w:val="1"/>
    <w:link w:val="43"/>
    <w:uiPriority w:val="0"/>
    <w:pPr>
      <w:shd w:val="clear" w:color="auto" w:fill="FFFFFF"/>
      <w:spacing w:before="1820" w:line="303" w:lineRule="exact"/>
      <w:ind w:hanging="720"/>
      <w:jc w:val="left"/>
    </w:pPr>
    <w:rPr>
      <w:rFonts w:ascii="PMingLiU" w:hAnsi="PMingLiU" w:eastAsia="PMingLiU"/>
      <w:color w:val="000000"/>
      <w:spacing w:val="20"/>
      <w:sz w:val="18"/>
      <w:shd w:val="clear" w:color="auto" w:fill="FFFFFF"/>
      <w:lang w:val="zh-CN"/>
    </w:rPr>
  </w:style>
  <w:style w:type="character" w:customStyle="1" w:styleId="45">
    <w:name w:val="批注框文本 Char"/>
    <w:link w:val="46"/>
    <w:qFormat/>
    <w:uiPriority w:val="0"/>
    <w:rPr>
      <w:kern w:val="2"/>
      <w:sz w:val="18"/>
    </w:rPr>
  </w:style>
  <w:style w:type="paragraph" w:customStyle="1" w:styleId="46">
    <w:name w:val="批注框文本2"/>
    <w:basedOn w:val="1"/>
    <w:link w:val="45"/>
    <w:uiPriority w:val="0"/>
    <w:rPr>
      <w:sz w:val="18"/>
    </w:rPr>
  </w:style>
  <w:style w:type="character" w:customStyle="1" w:styleId="47">
    <w:name w:val="Char"/>
    <w:qFormat/>
    <w:uiPriority w:val="0"/>
    <w:rPr>
      <w:rFonts w:eastAsia="宋体"/>
      <w:kern w:val="2"/>
      <w:sz w:val="21"/>
      <w:lang w:val="en-US" w:eastAsia="zh-CN"/>
    </w:rPr>
  </w:style>
  <w:style w:type="character" w:customStyle="1" w:styleId="48">
    <w:name w:val="批注引用1"/>
    <w:qFormat/>
    <w:uiPriority w:val="0"/>
    <w:rPr>
      <w:sz w:val="21"/>
    </w:rPr>
  </w:style>
  <w:style w:type="character" w:customStyle="1" w:styleId="49">
    <w:name w:val="页码2"/>
    <w:basedOn w:val="29"/>
    <w:qFormat/>
    <w:uiPriority w:val="0"/>
  </w:style>
  <w:style w:type="character" w:customStyle="1" w:styleId="50">
    <w:name w:val="段 Char"/>
    <w:link w:val="51"/>
    <w:qFormat/>
    <w:uiPriority w:val="0"/>
    <w:rPr>
      <w:rFonts w:ascii="宋体"/>
      <w:sz w:val="21"/>
      <w:lang w:val="en-US" w:eastAsia="zh-CN"/>
    </w:rPr>
  </w:style>
  <w:style w:type="paragraph" w:customStyle="1" w:styleId="51">
    <w:name w:val="段"/>
    <w:link w:val="50"/>
    <w:uiPriority w:val="0"/>
    <w:pPr>
      <w:tabs>
        <w:tab w:val="center" w:pos="4201"/>
        <w:tab w:val="right" w:leader="dot" w:pos="9298"/>
      </w:tabs>
      <w:autoSpaceDE w:val="0"/>
      <w:autoSpaceDN w:val="0"/>
      <w:ind w:left="357" w:firstLine="420" w:firstLineChars="200"/>
      <w:jc w:val="both"/>
    </w:pPr>
    <w:rPr>
      <w:rFonts w:ascii="宋体" w:hAnsi="Times New Roman" w:eastAsia="宋体" w:cs="Times New Roman"/>
      <w:sz w:val="21"/>
      <w:lang w:val="en-US" w:eastAsia="zh-CN" w:bidi="ar-SA"/>
    </w:rPr>
  </w:style>
  <w:style w:type="character" w:customStyle="1" w:styleId="52">
    <w:name w:val="Body text|2 + Times New Roman"/>
    <w:uiPriority w:val="0"/>
    <w:rPr>
      <w:rFonts w:ascii="Times New Roman" w:hAnsi="Times New Roman" w:eastAsia="Times New Roman"/>
      <w:i/>
      <w:color w:val="000000"/>
      <w:spacing w:val="0"/>
      <w:w w:val="100"/>
      <w:position w:val="0"/>
      <w:sz w:val="19"/>
      <w:u w:val="none"/>
      <w:lang w:val="zh-CN" w:eastAsia="zh-CN"/>
    </w:rPr>
  </w:style>
  <w:style w:type="paragraph" w:customStyle="1" w:styleId="53">
    <w:name w:val="编号列项（三级）"/>
    <w:uiPriority w:val="0"/>
    <w:pPr>
      <w:tabs>
        <w:tab w:val="left" w:pos="0"/>
      </w:tabs>
      <w:ind w:left="1678" w:hanging="419"/>
    </w:pPr>
    <w:rPr>
      <w:rFonts w:ascii="宋体" w:hAnsi="Times New Roman" w:eastAsia="宋体" w:cs="Times New Roman"/>
      <w:sz w:val="21"/>
      <w:lang w:val="en-US" w:eastAsia="zh-CN" w:bidi="ar-SA"/>
    </w:rPr>
  </w:style>
  <w:style w:type="paragraph" w:customStyle="1" w:styleId="54">
    <w:name w:val="Char Char1"/>
    <w:basedOn w:val="1"/>
    <w:uiPriority w:val="0"/>
    <w:rPr>
      <w:rFonts w:ascii="Tahoma" w:hAnsi="Tahoma"/>
    </w:rPr>
  </w:style>
  <w:style w:type="paragraph" w:customStyle="1" w:styleId="55">
    <w:name w:val="正文公式编号制表符"/>
    <w:basedOn w:val="51"/>
    <w:next w:val="51"/>
    <w:qFormat/>
    <w:uiPriority w:val="0"/>
    <w:pPr>
      <w:ind w:firstLine="0" w:firstLineChars="0"/>
    </w:pPr>
  </w:style>
  <w:style w:type="paragraph" w:customStyle="1" w:styleId="56">
    <w:name w:val="列出段落2"/>
    <w:basedOn w:val="1"/>
    <w:uiPriority w:val="0"/>
    <w:pPr>
      <w:ind w:firstLine="420"/>
    </w:pPr>
  </w:style>
  <w:style w:type="paragraph" w:customStyle="1" w:styleId="57">
    <w:name w:val="样式A.1.1"/>
    <w:basedOn w:val="58"/>
    <w:uiPriority w:val="0"/>
    <w:pPr>
      <w:tabs>
        <w:tab w:val="left" w:pos="420"/>
        <w:tab w:val="left" w:pos="709"/>
      </w:tabs>
      <w:spacing w:before="0" w:after="0" w:line="300" w:lineRule="auto"/>
      <w:ind w:left="420" w:hanging="420"/>
    </w:pPr>
    <w:rPr>
      <w:rFonts w:ascii="Arial" w:hAnsi="Arial" w:eastAsia="宋体"/>
      <w:kern w:val="2"/>
    </w:rPr>
  </w:style>
  <w:style w:type="paragraph" w:customStyle="1" w:styleId="58">
    <w:name w:val="样式 标题 3 + 左侧:  0 厘米 段前: 5 磅 段后: 5 磅 行距: 单倍行距"/>
    <w:basedOn w:val="5"/>
    <w:uiPriority w:val="0"/>
    <w:pPr>
      <w:tabs>
        <w:tab w:val="left" w:pos="709"/>
      </w:tabs>
      <w:spacing w:before="100" w:after="100" w:line="240" w:lineRule="auto"/>
      <w:ind w:left="709" w:hanging="709"/>
      <w:jc w:val="left"/>
    </w:pPr>
    <w:rPr>
      <w:rFonts w:eastAsia="黑体"/>
      <w:kern w:val="0"/>
    </w:rPr>
  </w:style>
  <w:style w:type="paragraph" w:customStyle="1" w:styleId="59">
    <w:name w:val="文档结构图1"/>
    <w:basedOn w:val="1"/>
    <w:uiPriority w:val="0"/>
    <w:pPr>
      <w:shd w:val="clear" w:color="auto" w:fill="000080"/>
    </w:pPr>
  </w:style>
  <w:style w:type="paragraph" w:customStyle="1" w:styleId="60">
    <w:name w:val="样式A1"/>
    <w:basedOn w:val="1"/>
    <w:uiPriority w:val="0"/>
    <w:pPr>
      <w:tabs>
        <w:tab w:val="left" w:pos="420"/>
      </w:tabs>
      <w:ind w:left="420" w:hanging="420"/>
    </w:pPr>
  </w:style>
  <w:style w:type="paragraph" w:customStyle="1" w:styleId="61">
    <w:name w:val="数字编号列项（二级）"/>
    <w:uiPriority w:val="0"/>
    <w:pPr>
      <w:tabs>
        <w:tab w:val="left" w:pos="1259"/>
      </w:tabs>
      <w:ind w:left="1259" w:hanging="420"/>
      <w:jc w:val="both"/>
    </w:pPr>
    <w:rPr>
      <w:rFonts w:ascii="宋体" w:hAnsi="Times New Roman" w:eastAsia="宋体" w:cs="Times New Roman"/>
      <w:sz w:val="21"/>
      <w:lang w:val="en-US" w:eastAsia="zh-CN" w:bidi="ar-SA"/>
    </w:rPr>
  </w:style>
  <w:style w:type="paragraph" w:customStyle="1" w:styleId="62">
    <w:name w:val="列出段落1"/>
    <w:basedOn w:val="1"/>
    <w:uiPriority w:val="0"/>
    <w:pPr>
      <w:ind w:firstLine="420"/>
    </w:pPr>
    <w:rPr>
      <w:rFonts w:hint="eastAsia"/>
    </w:rPr>
  </w:style>
  <w:style w:type="paragraph" w:customStyle="1" w:styleId="63">
    <w:name w:val="页眉1"/>
    <w:basedOn w:val="1"/>
    <w:uiPriority w:val="0"/>
    <w:pPr>
      <w:pBdr>
        <w:bottom w:val="single" w:color="auto" w:sz="6" w:space="1"/>
      </w:pBdr>
      <w:tabs>
        <w:tab w:val="center" w:pos="4153"/>
        <w:tab w:val="right" w:pos="8306"/>
      </w:tabs>
      <w:jc w:val="center"/>
    </w:pPr>
    <w:rPr>
      <w:sz w:val="18"/>
    </w:rPr>
  </w:style>
  <w:style w:type="paragraph" w:customStyle="1" w:styleId="64">
    <w:name w:val="页眉2"/>
    <w:basedOn w:val="1"/>
    <w:uiPriority w:val="0"/>
    <w:pPr>
      <w:pBdr>
        <w:bottom w:val="single" w:color="auto" w:sz="6" w:space="1"/>
      </w:pBdr>
      <w:tabs>
        <w:tab w:val="center" w:pos="4153"/>
        <w:tab w:val="right" w:pos="8306"/>
      </w:tabs>
      <w:jc w:val="center"/>
    </w:pPr>
    <w:rPr>
      <w:sz w:val="18"/>
    </w:rPr>
  </w:style>
  <w:style w:type="paragraph" w:customStyle="1" w:styleId="65">
    <w:name w:val="批注框文本1"/>
    <w:basedOn w:val="1"/>
    <w:qFormat/>
    <w:uiPriority w:val="0"/>
    <w:rPr>
      <w:sz w:val="18"/>
    </w:rPr>
  </w:style>
  <w:style w:type="paragraph" w:customStyle="1" w:styleId="66">
    <w:name w:val="字母编号列项（一级）"/>
    <w:qFormat/>
    <w:uiPriority w:val="0"/>
    <w:pPr>
      <w:tabs>
        <w:tab w:val="left" w:pos="839"/>
      </w:tabs>
      <w:ind w:left="839" w:hanging="419"/>
      <w:jc w:val="both"/>
    </w:pPr>
    <w:rPr>
      <w:rFonts w:ascii="宋体" w:hAnsi="Times New Roman" w:eastAsia="宋体" w:cs="Times New Roman"/>
      <w:sz w:val="21"/>
      <w:lang w:val="en-US" w:eastAsia="zh-CN" w:bidi="ar-SA"/>
    </w:rPr>
  </w:style>
  <w:style w:type="paragraph" w:customStyle="1" w:styleId="67">
    <w:name w:val="纯文本1"/>
    <w:basedOn w:val="1"/>
    <w:uiPriority w:val="0"/>
    <w:rPr>
      <w:rFonts w:hAnsi="Courier New"/>
    </w:rPr>
  </w:style>
  <w:style w:type="paragraph" w:customStyle="1" w:styleId="68">
    <w:name w:val="正文缩进1"/>
    <w:basedOn w:val="1"/>
    <w:qFormat/>
    <w:uiPriority w:val="0"/>
    <w:pPr>
      <w:ind w:firstLine="420"/>
    </w:pPr>
  </w:style>
  <w:style w:type="paragraph" w:customStyle="1" w:styleId="69">
    <w:name w:val="页脚1"/>
    <w:basedOn w:val="1"/>
    <w:uiPriority w:val="0"/>
    <w:pPr>
      <w:tabs>
        <w:tab w:val="center" w:pos="4153"/>
        <w:tab w:val="right" w:pos="8306"/>
      </w:tabs>
      <w:jc w:val="left"/>
    </w:pPr>
    <w:rPr>
      <w:sz w:val="18"/>
    </w:rPr>
  </w:style>
  <w:style w:type="paragraph" w:customStyle="1" w:styleId="70">
    <w:name w:val="批注主题1"/>
    <w:basedOn w:val="71"/>
    <w:next w:val="71"/>
    <w:uiPriority w:val="0"/>
    <w:rPr>
      <w:b/>
    </w:rPr>
  </w:style>
  <w:style w:type="paragraph" w:customStyle="1" w:styleId="71">
    <w:name w:val="批注文字1"/>
    <w:basedOn w:val="1"/>
    <w:uiPriority w:val="0"/>
    <w:pPr>
      <w:jc w:val="left"/>
    </w:pPr>
  </w:style>
  <w:style w:type="paragraph" w:customStyle="1" w:styleId="72">
    <w:name w:val="正文文本缩进 21"/>
    <w:basedOn w:val="1"/>
    <w:qFormat/>
    <w:uiPriority w:val="0"/>
    <w:pPr>
      <w:spacing w:after="120" w:line="480" w:lineRule="auto"/>
      <w:ind w:left="420" w:leftChars="200"/>
    </w:pPr>
  </w:style>
  <w:style w:type="paragraph" w:customStyle="1" w:styleId="73">
    <w:name w:val="日期1"/>
    <w:basedOn w:val="1"/>
    <w:next w:val="1"/>
    <w:uiPriority w:val="0"/>
    <w:pPr>
      <w:ind w:left="100" w:leftChars="2500"/>
    </w:pPr>
  </w:style>
  <w:style w:type="paragraph" w:customStyle="1" w:styleId="74">
    <w:name w:val="样式 小二"/>
    <w:uiPriority w:val="0"/>
    <w:pPr>
      <w:outlineLvl w:val="0"/>
    </w:pPr>
    <w:rPr>
      <w:rFonts w:hint="eastAsia" w:ascii="Times New Roman" w:hAnsi="Times New Roman" w:eastAsia="宋体" w:cs="Times New Roman"/>
      <w:color w:val="000000"/>
      <w:kern w:val="24"/>
      <w:sz w:val="36"/>
      <w:lang w:val="en-US" w:eastAsia="zh-CN" w:bidi="ar-SA"/>
    </w:rPr>
  </w:style>
  <w:style w:type="paragraph" w:customStyle="1" w:styleId="75">
    <w:name w:val="注：（正文）"/>
    <w:basedOn w:val="1"/>
    <w:next w:val="51"/>
    <w:qFormat/>
    <w:uiPriority w:val="0"/>
    <w:pPr>
      <w:tabs>
        <w:tab w:val="left" w:pos="420"/>
      </w:tabs>
      <w:autoSpaceDE w:val="0"/>
      <w:autoSpaceDN w:val="0"/>
      <w:ind w:left="420" w:hanging="420"/>
    </w:pPr>
    <w:rPr>
      <w:kern w:val="0"/>
      <w:sz w:val="18"/>
    </w:rPr>
  </w:style>
  <w:style w:type="paragraph" w:customStyle="1" w:styleId="76">
    <w:name w:val="Char Char Char Char"/>
    <w:basedOn w:val="1"/>
    <w:uiPriority w:val="0"/>
    <w:pPr>
      <w:ind w:firstLine="0"/>
    </w:pPr>
    <w:rPr>
      <w:rFonts w:ascii="Tahoma" w:hAnsi="Tahoma"/>
    </w:rPr>
  </w:style>
  <w:style w:type="paragraph" w:customStyle="1" w:styleId="77">
    <w:name w:val="页脚2"/>
    <w:basedOn w:val="1"/>
    <w:uiPriority w:val="0"/>
    <w:pPr>
      <w:tabs>
        <w:tab w:val="center" w:pos="4153"/>
        <w:tab w:val="right" w:pos="8306"/>
      </w:tabs>
      <w:jc w:val="left"/>
    </w:pPr>
    <w:rPr>
      <w:sz w:val="18"/>
    </w:rPr>
  </w:style>
  <w:style w:type="character" w:customStyle="1" w:styleId="78">
    <w:name w:val="标题 1 字符"/>
    <w:link w:val="2"/>
    <w:qFormat/>
    <w:uiPriority w:val="0"/>
    <w:rPr>
      <w:rFonts w:ascii="黑体" w:hAnsi="宋体" w:eastAsia="黑体"/>
      <w:color w:val="000000"/>
      <w:kern w:val="2"/>
      <w:sz w:val="24"/>
      <w:szCs w:val="24"/>
    </w:rPr>
  </w:style>
  <w:style w:type="character" w:customStyle="1" w:styleId="79">
    <w:name w:val="标题 2 字符"/>
    <w:link w:val="4"/>
    <w:qFormat/>
    <w:uiPriority w:val="0"/>
    <w:rPr>
      <w:b/>
      <w:sz w:val="24"/>
      <w:szCs w:val="24"/>
    </w:rPr>
  </w:style>
  <w:style w:type="character" w:customStyle="1" w:styleId="80">
    <w:name w:val="标题 3 字符"/>
    <w:link w:val="5"/>
    <w:qFormat/>
    <w:uiPriority w:val="0"/>
    <w:rPr>
      <w:b/>
      <w:bCs/>
      <w:kern w:val="2"/>
      <w:sz w:val="24"/>
      <w:szCs w:val="21"/>
    </w:rPr>
  </w:style>
  <w:style w:type="paragraph" w:styleId="81">
    <w:name w:val="List Paragraph"/>
    <w:basedOn w:val="1"/>
    <w:qFormat/>
    <w:uiPriority w:val="34"/>
    <w:pPr>
      <w:ind w:firstLine="420"/>
    </w:pPr>
    <w:rPr>
      <w:szCs w:val="22"/>
    </w:rPr>
  </w:style>
  <w:style w:type="paragraph" w:customStyle="1" w:styleId="82">
    <w:name w:val="图"/>
    <w:basedOn w:val="1"/>
    <w:qFormat/>
    <w:uiPriority w:val="0"/>
    <w:pPr>
      <w:spacing w:line="240" w:lineRule="auto"/>
      <w:ind w:firstLine="0" w:firstLineChars="0"/>
      <w:jc w:val="center"/>
    </w:pPr>
    <w:rPr>
      <w:sz w:val="21"/>
    </w:rPr>
  </w:style>
  <w:style w:type="paragraph" w:customStyle="1" w:styleId="83">
    <w:name w:val="二级无"/>
    <w:basedOn w:val="1"/>
    <w:uiPriority w:val="0"/>
    <w:pPr>
      <w:widowControl/>
      <w:numPr>
        <w:ilvl w:val="2"/>
        <w:numId w:val="2"/>
      </w:numPr>
      <w:spacing w:before="50" w:after="50"/>
      <w:jc w:val="left"/>
      <w:outlineLvl w:val="3"/>
    </w:pPr>
    <w:rPr>
      <w:kern w:val="0"/>
      <w:szCs w:val="21"/>
    </w:rPr>
  </w:style>
  <w:style w:type="paragraph" w:customStyle="1" w:styleId="84">
    <w:name w:val="四级无"/>
    <w:basedOn w:val="1"/>
    <w:uiPriority w:val="0"/>
    <w:pPr>
      <w:widowControl/>
      <w:numPr>
        <w:ilvl w:val="4"/>
        <w:numId w:val="2"/>
      </w:numPr>
      <w:spacing w:before="50" w:after="50"/>
      <w:jc w:val="left"/>
      <w:outlineLvl w:val="5"/>
    </w:pPr>
    <w:rPr>
      <w:kern w:val="0"/>
      <w:szCs w:val="21"/>
    </w:rPr>
  </w:style>
  <w:style w:type="paragraph" w:customStyle="1" w:styleId="85">
    <w:name w:val="五级无"/>
    <w:basedOn w:val="1"/>
    <w:uiPriority w:val="0"/>
    <w:pPr>
      <w:widowControl/>
      <w:numPr>
        <w:ilvl w:val="5"/>
        <w:numId w:val="2"/>
      </w:numPr>
      <w:spacing w:before="50" w:after="50"/>
      <w:jc w:val="left"/>
      <w:outlineLvl w:val="6"/>
    </w:pPr>
    <w:rPr>
      <w:kern w:val="0"/>
      <w:szCs w:val="21"/>
    </w:rPr>
  </w:style>
  <w:style w:type="paragraph" w:customStyle="1" w:styleId="86">
    <w:name w:val="一级无"/>
    <w:basedOn w:val="1"/>
    <w:uiPriority w:val="0"/>
    <w:pPr>
      <w:widowControl/>
      <w:numPr>
        <w:ilvl w:val="1"/>
        <w:numId w:val="2"/>
      </w:numPr>
      <w:jc w:val="left"/>
      <w:outlineLvl w:val="2"/>
    </w:pPr>
    <w:rPr>
      <w:kern w:val="0"/>
      <w:szCs w:val="21"/>
    </w:rPr>
  </w:style>
  <w:style w:type="paragraph" w:customStyle="1" w:styleId="87">
    <w:name w:val="公式"/>
    <w:link w:val="88"/>
    <w:uiPriority w:val="0"/>
    <w:pPr>
      <w:tabs>
        <w:tab w:val="center" w:pos="4536"/>
        <w:tab w:val="right" w:pos="9072"/>
      </w:tabs>
      <w:adjustRightInd w:val="0"/>
      <w:jc w:val="center"/>
    </w:pPr>
    <w:rPr>
      <w:rFonts w:ascii="宋体" w:hAnsi="宋体" w:eastAsia="宋体" w:cs="Times New Roman"/>
      <w:kern w:val="2"/>
      <w:sz w:val="24"/>
      <w:szCs w:val="24"/>
      <w:lang w:val="en-US" w:eastAsia="zh-CN" w:bidi="ar-SA"/>
    </w:rPr>
  </w:style>
  <w:style w:type="character" w:customStyle="1" w:styleId="88">
    <w:name w:val="公式 字符"/>
    <w:link w:val="87"/>
    <w:qFormat/>
    <w:uiPriority w:val="0"/>
    <w:rPr>
      <w:rFonts w:ascii="宋体" w:hAnsi="宋体"/>
      <w:kern w:val="2"/>
      <w:sz w:val="24"/>
      <w:szCs w:val="24"/>
    </w:rPr>
  </w:style>
  <w:style w:type="character" w:customStyle="1" w:styleId="89">
    <w:name w:val="批注文字 字符"/>
    <w:link w:val="14"/>
    <w:qFormat/>
    <w:uiPriority w:val="99"/>
    <w:rPr>
      <w:rFonts w:ascii="宋体" w:hAnsi="宋体"/>
      <w:kern w:val="2"/>
      <w:sz w:val="24"/>
      <w:szCs w:val="24"/>
    </w:rPr>
  </w:style>
  <w:style w:type="character" w:customStyle="1" w:styleId="90">
    <w:name w:val="批注主题 字符"/>
    <w:link w:val="26"/>
    <w:semiHidden/>
    <w:qFormat/>
    <w:uiPriority w:val="99"/>
    <w:rPr>
      <w:rFonts w:ascii="宋体" w:hAnsi="宋体"/>
      <w:b/>
      <w:bCs/>
      <w:kern w:val="2"/>
      <w:sz w:val="24"/>
      <w:szCs w:val="24"/>
    </w:rPr>
  </w:style>
  <w:style w:type="paragraph" w:customStyle="1" w:styleId="91">
    <w:name w:val="正文表标题"/>
    <w:next w:val="1"/>
    <w:qFormat/>
    <w:uiPriority w:val="0"/>
    <w:pPr>
      <w:numPr>
        <w:ilvl w:val="1"/>
        <w:numId w:val="3"/>
      </w:numPr>
      <w:tabs>
        <w:tab w:val="left" w:pos="420"/>
        <w:tab w:val="left" w:pos="4897"/>
      </w:tabs>
      <w:jc w:val="center"/>
    </w:pPr>
    <w:rPr>
      <w:rFonts w:hint="eastAsia" w:ascii="黑体" w:hAnsi="黑体" w:eastAsia="黑体" w:cs="Times New Roman"/>
      <w:b/>
      <w:sz w:val="21"/>
      <w:lang w:val="en-US" w:eastAsia="zh-CN" w:bidi="ar-SA"/>
    </w:rPr>
  </w:style>
  <w:style w:type="character" w:styleId="92">
    <w:name w:val="Placeholder Text"/>
    <w:basedOn w:val="29"/>
    <w:unhideWhenUsed/>
    <w:qFormat/>
    <w:uiPriority w:val="99"/>
    <w:rPr>
      <w:color w:val="808080"/>
    </w:rPr>
  </w:style>
  <w:style w:type="character" w:customStyle="1" w:styleId="93">
    <w:name w:val="MTConvertedEquation"/>
    <w:basedOn w:val="29"/>
    <w:uiPriority w:val="0"/>
  </w:style>
  <w:style w:type="character" w:customStyle="1" w:styleId="94">
    <w:name w:val="MTEquationSection"/>
    <w:basedOn w:val="29"/>
    <w:qFormat/>
    <w:uiPriority w:val="0"/>
    <w:rPr>
      <w:rFonts w:ascii="Times New Roman" w:hAnsi="Times New Roman"/>
      <w:b/>
      <w:vanish/>
      <w:color w:val="FF0000"/>
      <w:sz w:val="52"/>
      <w:szCs w:val="20"/>
    </w:rPr>
  </w:style>
  <w:style w:type="paragraph" w:customStyle="1" w:styleId="95">
    <w:name w:val="MTDisplayEquation"/>
    <w:basedOn w:val="1"/>
    <w:next w:val="1"/>
    <w:link w:val="96"/>
    <w:uiPriority w:val="0"/>
    <w:pPr>
      <w:tabs>
        <w:tab w:val="center" w:pos="4680"/>
        <w:tab w:val="right" w:pos="9360"/>
      </w:tabs>
    </w:pPr>
  </w:style>
  <w:style w:type="character" w:customStyle="1" w:styleId="96">
    <w:name w:val="MTDisplayEquation 字符"/>
    <w:basedOn w:val="29"/>
    <w:link w:val="95"/>
    <w:qFormat/>
    <w:uiPriority w:val="0"/>
    <w:rPr>
      <w:kern w:val="2"/>
      <w:sz w:val="24"/>
      <w:szCs w:val="24"/>
    </w:rPr>
  </w:style>
  <w:style w:type="paragraph" w:customStyle="1" w:styleId="97">
    <w:name w:val="注×：（正文）"/>
    <w:qFormat/>
    <w:uiPriority w:val="0"/>
    <w:pPr>
      <w:numPr>
        <w:ilvl w:val="0"/>
        <w:numId w:val="4"/>
      </w:numPr>
      <w:jc w:val="both"/>
    </w:pPr>
    <w:rPr>
      <w:rFonts w:ascii="宋体" w:hAnsi="Times New Roman" w:eastAsia="宋体" w:cs="Times New Roman"/>
      <w:sz w:val="18"/>
      <w:szCs w:val="18"/>
      <w:lang w:val="en-US" w:eastAsia="zh-CN" w:bidi="ar-SA"/>
    </w:rPr>
  </w:style>
  <w:style w:type="paragraph" w:customStyle="1" w:styleId="98">
    <w:name w:val="修订1"/>
    <w:hidden/>
    <w:unhideWhenUsed/>
    <w:qFormat/>
    <w:uiPriority w:val="99"/>
    <w:rPr>
      <w:rFonts w:ascii="宋体" w:hAnsi="宋体" w:eastAsia="宋体" w:cs="Times New Roman"/>
      <w:kern w:val="2"/>
      <w:sz w:val="24"/>
      <w:szCs w:val="24"/>
      <w:lang w:val="en-US" w:eastAsia="zh-CN" w:bidi="ar-SA"/>
    </w:rPr>
  </w:style>
  <w:style w:type="paragraph" w:customStyle="1" w:styleId="99">
    <w:name w:val="First Paragraph"/>
    <w:basedOn w:val="3"/>
    <w:next w:val="3"/>
    <w:qFormat/>
    <w:uiPriority w:val="0"/>
  </w:style>
  <w:style w:type="paragraph" w:customStyle="1" w:styleId="100">
    <w:name w:val="Compact"/>
    <w:basedOn w:val="3"/>
    <w:qFormat/>
    <w:uiPriority w:val="0"/>
    <w:pPr>
      <w:spacing w:before="36" w:after="36"/>
    </w:pPr>
  </w:style>
  <w:style w:type="table" w:customStyle="1" w:styleId="101">
    <w:name w:val="Table"/>
    <w:basedOn w:val="27"/>
    <w:unhideWhenUsed/>
    <w:qFormat/>
    <w:uiPriority w:val="0"/>
    <w:tblStylePr w:type="firstRow">
      <w:tcPr>
        <w:tcBorders>
          <w:top w:val="nil"/>
          <w:left w:val="nil"/>
          <w:bottom w:val="single" w:color="auto" w:sz="0" w:space="0"/>
          <w:right w:val="nil"/>
          <w:insideH w:val="nil"/>
          <w:insideV w:val="nil"/>
          <w:tl2br w:val="nil"/>
          <w:tr2bl w:val="nil"/>
        </w:tcBorders>
        <w:vAlign w:val="bottom"/>
      </w:tcPr>
    </w:tblStylePr>
  </w:style>
  <w:style w:type="character" w:customStyle="1" w:styleId="102">
    <w:name w:val="FunctionTok"/>
    <w:basedOn w:val="103"/>
    <w:qFormat/>
    <w:uiPriority w:val="0"/>
    <w:rPr>
      <w:rFonts w:ascii="Times New Roman" w:hAnsi="Times New Roman" w:eastAsia="宋体" w:cs="Times New Roman"/>
      <w:color w:val="06287E"/>
      <w:kern w:val="2"/>
      <w:sz w:val="21"/>
      <w:szCs w:val="24"/>
      <w:lang w:val="en-US" w:eastAsia="zh-CN" w:bidi="ar-SA"/>
    </w:rPr>
  </w:style>
  <w:style w:type="character" w:customStyle="1" w:styleId="103">
    <w:name w:val="Verbatim Char"/>
    <w:basedOn w:val="104"/>
    <w:link w:val="105"/>
    <w:qFormat/>
    <w:uiPriority w:val="0"/>
    <w:rPr>
      <w:rFonts w:ascii="Times New Roman" w:hAnsi="Times New Roman" w:eastAsia="宋体" w:cs="Times New Roman"/>
      <w:kern w:val="2"/>
      <w:sz w:val="21"/>
      <w:szCs w:val="24"/>
      <w:lang w:val="en-US" w:eastAsia="zh-CN" w:bidi="ar-SA"/>
    </w:rPr>
  </w:style>
  <w:style w:type="character" w:customStyle="1" w:styleId="104">
    <w:name w:val="正文文本 字符"/>
    <w:basedOn w:val="29"/>
    <w:link w:val="3"/>
    <w:qFormat/>
    <w:uiPriority w:val="0"/>
  </w:style>
  <w:style w:type="paragraph" w:customStyle="1" w:styleId="105">
    <w:name w:val="Source Code"/>
    <w:link w:val="103"/>
    <w:qFormat/>
    <w:uiPriority w:val="0"/>
    <w:pPr>
      <w:widowControl w:val="0"/>
      <w:wordWrap w:val="0"/>
      <w:jc w:val="both"/>
    </w:pPr>
    <w:rPr>
      <w:rFonts w:ascii="Times New Roman" w:hAnsi="Times New Roman" w:eastAsia="宋体" w:cs="Times New Roman"/>
      <w:kern w:val="2"/>
      <w:sz w:val="21"/>
      <w:szCs w:val="24"/>
      <w:lang w:val="en-US" w:eastAsia="zh-CN" w:bidi="ar-SA"/>
    </w:rPr>
  </w:style>
  <w:style w:type="character" w:customStyle="1" w:styleId="106">
    <w:name w:val="NormalTok"/>
    <w:basedOn w:val="103"/>
    <w:autoRedefine/>
    <w:uiPriority w:val="0"/>
    <w:rPr>
      <w:rFonts w:ascii="Times New Roman" w:hAnsi="Times New Roman" w:eastAsia="宋体" w:cs="Times New Roman"/>
      <w:kern w:val="2"/>
      <w:sz w:val="21"/>
      <w:szCs w:val="24"/>
      <w:lang w:val="en-US" w:eastAsia="zh-CN" w:bidi="ar-SA"/>
    </w:rPr>
  </w:style>
  <w:style w:type="character" w:customStyle="1" w:styleId="107">
    <w:name w:val="DataTypeTok"/>
    <w:basedOn w:val="103"/>
    <w:autoRedefine/>
    <w:uiPriority w:val="0"/>
    <w:rPr>
      <w:rFonts w:ascii="Times New Roman" w:hAnsi="Times New Roman" w:eastAsia="宋体" w:cs="Times New Roman"/>
      <w:color w:val="902000"/>
      <w:kern w:val="2"/>
      <w:sz w:val="21"/>
      <w:szCs w:val="24"/>
      <w:lang w:val="en-US" w:eastAsia="zh-CN" w:bidi="ar-SA"/>
    </w:rPr>
  </w:style>
  <w:style w:type="character" w:customStyle="1" w:styleId="108">
    <w:name w:val="StringTok"/>
    <w:basedOn w:val="103"/>
    <w:autoRedefine/>
    <w:uiPriority w:val="0"/>
    <w:rPr>
      <w:rFonts w:ascii="Times New Roman" w:hAnsi="Times New Roman" w:eastAsia="宋体" w:cs="Times New Roman"/>
      <w:color w:val="4070A0"/>
      <w:kern w:val="2"/>
      <w:sz w:val="21"/>
      <w:szCs w:val="24"/>
      <w:lang w:val="en-US" w:eastAsia="zh-CN" w:bidi="ar-SA"/>
    </w:rPr>
  </w:style>
  <w:style w:type="character" w:customStyle="1" w:styleId="109">
    <w:name w:val="CharTok"/>
    <w:basedOn w:val="103"/>
    <w:autoRedefine/>
    <w:uiPriority w:val="0"/>
    <w:rPr>
      <w:rFonts w:ascii="Times New Roman" w:hAnsi="Times New Roman" w:eastAsia="宋体" w:cs="Times New Roman"/>
      <w:color w:val="4070A0"/>
      <w:kern w:val="2"/>
      <w:sz w:val="21"/>
      <w:szCs w:val="24"/>
      <w:lang w:val="en-US" w:eastAsia="zh-CN" w:bidi="ar-SA"/>
    </w:rPr>
  </w:style>
  <w:style w:type="character" w:customStyle="1" w:styleId="110">
    <w:name w:val="DecValTok"/>
    <w:basedOn w:val="103"/>
    <w:autoRedefine/>
    <w:uiPriority w:val="0"/>
    <w:rPr>
      <w:rFonts w:ascii="Times New Roman" w:hAnsi="Times New Roman" w:eastAsia="宋体" w:cs="Times New Roman"/>
      <w:color w:val="40A070"/>
      <w:kern w:val="2"/>
      <w:sz w:val="21"/>
      <w:szCs w:val="24"/>
      <w:lang w:val="en-US" w:eastAsia="zh-CN" w:bidi="ar-SA"/>
    </w:rPr>
  </w:style>
  <w:style w:type="character" w:customStyle="1" w:styleId="111">
    <w:name w:val="FloatTok"/>
    <w:basedOn w:val="103"/>
    <w:autoRedefine/>
    <w:uiPriority w:val="0"/>
    <w:rPr>
      <w:rFonts w:ascii="Times New Roman" w:hAnsi="Times New Roman" w:eastAsia="宋体" w:cs="Times New Roman"/>
      <w:color w:val="40A070"/>
      <w:kern w:val="2"/>
      <w:sz w:val="21"/>
      <w:szCs w:val="24"/>
      <w:lang w:val="en-US" w:eastAsia="zh-CN" w:bidi="ar-SA"/>
    </w:rPr>
  </w:style>
  <w:style w:type="character" w:customStyle="1" w:styleId="112">
    <w:name w:val="OtherTok"/>
    <w:basedOn w:val="103"/>
    <w:autoRedefine/>
    <w:uiPriority w:val="0"/>
    <w:rPr>
      <w:rFonts w:ascii="Times New Roman" w:hAnsi="Times New Roman" w:eastAsia="宋体" w:cs="Times New Roman"/>
      <w:color w:val="007020"/>
      <w:kern w:val="2"/>
      <w:sz w:val="21"/>
      <w:szCs w:val="24"/>
      <w:lang w:val="en-US" w:eastAsia="zh-CN" w:bidi="ar-SA"/>
    </w:rPr>
  </w:style>
  <w:style w:type="character" w:customStyle="1" w:styleId="113">
    <w:name w:val="标题 4 字符"/>
    <w:basedOn w:val="29"/>
    <w:link w:val="6"/>
    <w:uiPriority w:val="0"/>
    <w:rPr>
      <w:b/>
      <w:kern w:val="2"/>
      <w:sz w:val="24"/>
      <w:szCs w:val="24"/>
    </w:rPr>
  </w:style>
  <w:style w:type="character" w:customStyle="1" w:styleId="114">
    <w:name w:val="标题 8 字符"/>
    <w:basedOn w:val="29"/>
    <w:link w:val="10"/>
    <w:uiPriority w:val="0"/>
    <w:rPr>
      <w:rFonts w:ascii="Arial" w:hAnsi="Arial" w:eastAsia="黑体"/>
      <w:kern w:val="2"/>
      <w:sz w:val="28"/>
      <w:szCs w:val="24"/>
    </w:rPr>
  </w:style>
  <w:style w:type="character" w:customStyle="1" w:styleId="115">
    <w:name w:val="标题 9 字符"/>
    <w:basedOn w:val="29"/>
    <w:link w:val="11"/>
    <w:uiPriority w:val="0"/>
    <w:rPr>
      <w:rFonts w:ascii="Arial" w:hAnsi="Arial" w:eastAsia="黑体"/>
      <w:kern w:val="2"/>
      <w:sz w:val="24"/>
      <w:szCs w:val="24"/>
    </w:rPr>
  </w:style>
  <w:style w:type="paragraph" w:customStyle="1" w:styleId="116">
    <w:name w:val="术语定义条标题"/>
    <w:basedOn w:val="1"/>
    <w:next w:val="51"/>
    <w:uiPriority w:val="0"/>
    <w:pPr>
      <w:widowControl/>
      <w:tabs>
        <w:tab w:val="left" w:pos="357"/>
        <w:tab w:val="left" w:pos="420"/>
      </w:tabs>
      <w:jc w:val="left"/>
    </w:pPr>
    <w:rPr>
      <w:rFonts w:hint="eastAsia" w:ascii="黑体" w:eastAsia="黑体"/>
      <w:b/>
      <w:kern w:val="0"/>
      <w:szCs w:val="20"/>
    </w:rPr>
  </w:style>
  <w:style w:type="paragraph" w:customStyle="1" w:styleId="117">
    <w:name w:val="附录"/>
    <w:basedOn w:val="2"/>
    <w:autoRedefine/>
    <w:qFormat/>
    <w:uiPriority w:val="0"/>
    <w:pPr>
      <w:numPr>
        <w:numId w:val="5"/>
      </w:numPr>
      <w:tabs>
        <w:tab w:val="left" w:pos="432"/>
      </w:tabs>
      <w:spacing w:line="240" w:lineRule="auto"/>
    </w:pPr>
    <w:rPr>
      <w:rFonts w:hAnsi="黑体"/>
      <w:sz w:val="28"/>
      <w:szCs w:val="28"/>
    </w:rPr>
  </w:style>
  <w:style w:type="paragraph" w:customStyle="1" w:styleId="118">
    <w:name w:val="附录2"/>
    <w:basedOn w:val="4"/>
    <w:next w:val="1"/>
    <w:autoRedefine/>
    <w:qFormat/>
    <w:uiPriority w:val="0"/>
    <w:pPr>
      <w:numPr>
        <w:numId w:val="6"/>
      </w:numPr>
    </w:pPr>
    <w:rPr>
      <w:rFonts w:ascii="Arial" w:hAnsi="Arial"/>
      <w:b w:val="0"/>
    </w:rPr>
  </w:style>
  <w:style w:type="paragraph" w:customStyle="1" w:styleId="119">
    <w:name w:val="附录表"/>
    <w:basedOn w:val="5"/>
    <w:autoRedefine/>
    <w:qFormat/>
    <w:uiPriority w:val="0"/>
    <w:pPr>
      <w:numPr>
        <w:ilvl w:val="1"/>
        <w:numId w:val="7"/>
      </w:numPr>
      <w:tabs>
        <w:tab w:val="left" w:pos="720"/>
      </w:tabs>
      <w:spacing w:line="0" w:lineRule="atLeast"/>
      <w:ind w:left="0" w:firstLine="0"/>
      <w:jc w:val="center"/>
    </w:pPr>
    <w:rPr>
      <w:b w:val="0"/>
      <w:sz w:val="21"/>
    </w:rPr>
  </w:style>
  <w:style w:type="paragraph" w:customStyle="1" w:styleId="120">
    <w:name w:val="Table Paragraph"/>
    <w:basedOn w:val="1"/>
    <w:autoRedefine/>
    <w:qFormat/>
    <w:uiPriority w:val="0"/>
    <w:rPr>
      <w:rFonts w:cs="宋体"/>
    </w:rPr>
  </w:style>
  <w:style w:type="paragraph" w:customStyle="1" w:styleId="121">
    <w:name w:val="样式3"/>
    <w:basedOn w:val="1"/>
    <w:uiPriority w:val="0"/>
    <w:pPr>
      <w:numPr>
        <w:ilvl w:val="1"/>
        <w:numId w:val="5"/>
      </w:numPr>
    </w:pPr>
  </w:style>
  <w:style w:type="paragraph" w:customStyle="1" w:styleId="122">
    <w:name w:val="MdSpace"/>
    <w:qFormat/>
    <w:uiPriority w:val="0"/>
    <w:rPr>
      <w:rFonts w:asciiTheme="minorHAnsi" w:hAnsiTheme="minorHAnsi" w:eastAsiaTheme="minorEastAsia" w:cstheme="minorBidi"/>
      <w:sz w:val="12"/>
      <w:szCs w:val="12"/>
      <w:lang w:val="en-US" w:eastAsia="zh-CN" w:bidi="ar-SA"/>
    </w:rPr>
  </w:style>
  <w:style w:type="paragraph" w:customStyle="1" w:styleId="123">
    <w:name w:val="MdParagraph"/>
    <w:qFormat/>
    <w:uiPriority w:val="0"/>
    <w:pPr>
      <w:spacing w:before="120" w:after="120"/>
    </w:pPr>
    <w:rPr>
      <w:rFonts w:asciiTheme="minorHAnsi" w:hAnsiTheme="minorHAnsi" w:eastAsiaTheme="minorEastAsia" w:cstheme="minorBidi"/>
      <w:sz w:val="24"/>
      <w:szCs w:val="24"/>
      <w:lang w:val="en-US" w:eastAsia="zh-CN" w:bidi="ar-SA"/>
    </w:rPr>
  </w:style>
  <w:style w:type="character" w:customStyle="1" w:styleId="124">
    <w:name w:val="MdStrong"/>
    <w:unhideWhenUsed/>
    <w:qFormat/>
    <w:uiPriority w:val="99"/>
    <w:rPr>
      <w:b/>
      <w:bCs/>
    </w:rPr>
  </w:style>
  <w:style w:type="paragraph" w:customStyle="1" w:styleId="125">
    <w:name w:val="术语"/>
    <w:basedOn w:val="1"/>
    <w:link w:val="126"/>
    <w:qFormat/>
    <w:uiPriority w:val="0"/>
    <w:pPr>
      <w:spacing w:before="50" w:beforeLines="50"/>
      <w:ind w:firstLine="0" w:firstLineChars="0"/>
      <w:outlineLvl w:val="1"/>
    </w:pPr>
    <w:rPr>
      <w:rFonts w:eastAsia="黑体"/>
    </w:rPr>
  </w:style>
  <w:style w:type="character" w:customStyle="1" w:styleId="126">
    <w:name w:val="术语 字符"/>
    <w:basedOn w:val="29"/>
    <w:link w:val="125"/>
    <w:uiPriority w:val="0"/>
    <w:rPr>
      <w:rFonts w:eastAsia="黑体"/>
      <w:kern w:val="2"/>
      <w:sz w:val="24"/>
      <w:szCs w:val="24"/>
    </w:rPr>
  </w:style>
  <w:style w:type="character" w:customStyle="1" w:styleId="127">
    <w:name w:val="标题 6 字符"/>
    <w:basedOn w:val="29"/>
    <w:link w:val="8"/>
    <w:semiHidden/>
    <w:uiPriority w:val="9"/>
    <w:rPr>
      <w:rFonts w:asciiTheme="majorHAnsi" w:hAnsiTheme="majorHAnsi" w:eastAsiaTheme="majorEastAsia" w:cstheme="majorBidi"/>
      <w:b/>
      <w:bCs/>
      <w:kern w:val="2"/>
      <w:sz w:val="24"/>
      <w:szCs w:val="24"/>
    </w:rPr>
  </w:style>
  <w:style w:type="character" w:customStyle="1" w:styleId="128">
    <w:name w:val="标题 7 字符"/>
    <w:basedOn w:val="29"/>
    <w:link w:val="9"/>
    <w:semiHidden/>
    <w:uiPriority w:val="9"/>
    <w:rPr>
      <w:rFonts w:ascii="宋体" w:hAnsi="宋体"/>
      <w:b/>
      <w:bCs/>
      <w:kern w:val="2"/>
      <w:sz w:val="24"/>
      <w:szCs w:val="24"/>
    </w:rPr>
  </w:style>
  <w:style w:type="paragraph" w:customStyle="1" w:styleId="129">
    <w:name w:val="MdListItem"/>
    <w:qFormat/>
    <w:uiPriority w:val="0"/>
    <w:pPr>
      <w:spacing w:before="60" w:after="60"/>
      <w:ind w:left="720" w:hanging="360"/>
    </w:pPr>
    <w:rPr>
      <w:rFonts w:asciiTheme="minorHAnsi" w:hAnsiTheme="minorHAnsi" w:eastAsiaTheme="minorEastAsia" w:cstheme="minorBidi"/>
      <w:sz w:val="24"/>
      <w:szCs w:val="24"/>
      <w:lang w:val="en-US" w:eastAsia="zh-CN" w:bidi="ar-SA"/>
    </w:rPr>
  </w:style>
  <w:style w:type="paragraph" w:customStyle="1" w:styleId="130">
    <w:name w:val="MdHeading2"/>
    <w:qFormat/>
    <w:uiPriority w:val="0"/>
    <w:pPr>
      <w:keepNext/>
      <w:spacing w:before="400" w:after="200"/>
      <w:outlineLvl w:val="1"/>
    </w:pPr>
    <w:rPr>
      <w:rFonts w:asciiTheme="minorHAnsi" w:hAnsiTheme="minorHAnsi" w:eastAsiaTheme="minorEastAsia" w:cstheme="minorBidi"/>
      <w:b/>
      <w:bCs/>
      <w:sz w:val="32"/>
      <w:szCs w:val="32"/>
      <w:lang w:val="en-US" w:eastAsia="zh-CN" w:bidi="ar-SA"/>
    </w:rPr>
  </w:style>
  <w:style w:type="paragraph" w:customStyle="1" w:styleId="131">
    <w:name w:val="MdHeading3"/>
    <w:qFormat/>
    <w:uiPriority w:val="0"/>
    <w:pPr>
      <w:keepNext/>
      <w:spacing w:before="320" w:after="160"/>
      <w:outlineLvl w:val="2"/>
    </w:pPr>
    <w:rPr>
      <w:rFonts w:asciiTheme="minorHAnsi" w:hAnsiTheme="minorHAnsi" w:eastAsiaTheme="minorEastAsia" w:cstheme="minorBidi"/>
      <w:b/>
      <w:bCs/>
      <w:sz w:val="28"/>
      <w:szCs w:val="28"/>
      <w:lang w:val="en-US" w:eastAsia="zh-CN" w:bidi="ar-SA"/>
    </w:rPr>
  </w:style>
  <w:style w:type="paragraph" w:customStyle="1" w:styleId="132">
    <w:name w:val="MdTableHeader"/>
    <w:qFormat/>
    <w:uiPriority w:val="0"/>
    <w:pPr>
      <w:spacing w:before="60" w:after="60"/>
    </w:pPr>
    <w:rPr>
      <w:rFonts w:asciiTheme="minorHAnsi" w:hAnsiTheme="minorHAnsi" w:eastAsiaTheme="minorEastAsia" w:cstheme="minorBidi"/>
      <w:b/>
      <w:bCs/>
      <w:sz w:val="22"/>
      <w:szCs w:val="22"/>
      <w:lang w:val="en-US" w:eastAsia="zh-CN" w:bidi="ar-SA"/>
    </w:rPr>
  </w:style>
  <w:style w:type="paragraph" w:customStyle="1" w:styleId="133">
    <w:name w:val="MdTableCell"/>
    <w:qFormat/>
    <w:uiPriority w:val="0"/>
    <w:pPr>
      <w:spacing w:before="40" w:after="40"/>
    </w:pPr>
    <w:rPr>
      <w:rFonts w:asciiTheme="minorHAnsi" w:hAnsiTheme="minorHAnsi" w:eastAsiaTheme="minorEastAsia" w:cstheme="minorBidi"/>
      <w:lang w:val="en-US" w:eastAsia="zh-CN" w:bidi="ar-SA"/>
    </w:rPr>
  </w:style>
  <w:style w:type="paragraph" w:customStyle="1" w:styleId="134">
    <w:name w:val="MdHeading4"/>
    <w:qFormat/>
    <w:uiPriority w:val="0"/>
    <w:pPr>
      <w:keepNext/>
      <w:spacing w:before="280" w:after="140"/>
      <w:outlineLvl w:val="3"/>
    </w:pPr>
    <w:rPr>
      <w:rFonts w:asciiTheme="minorHAnsi" w:hAnsiTheme="minorHAnsi" w:eastAsiaTheme="minorEastAsia" w:cstheme="minorBidi"/>
      <w:b/>
      <w:bCs/>
      <w:sz w:val="26"/>
      <w:szCs w:val="26"/>
      <w:lang w:val="en-US" w:eastAsia="zh-CN" w:bidi="ar-SA"/>
    </w:rPr>
  </w:style>
  <w:style w:type="character" w:customStyle="1" w:styleId="135">
    <w:name w:val="MdEm"/>
    <w:unhideWhenUsed/>
    <w:qFormat/>
    <w:uiPriority w:val="99"/>
    <w:rPr>
      <w:i/>
      <w:iCs/>
    </w:rPr>
  </w:style>
  <w:style w:type="character" w:customStyle="1" w:styleId="136">
    <w:name w:val="日期 字符"/>
    <w:basedOn w:val="29"/>
    <w:link w:val="18"/>
    <w:semiHidden/>
    <w:uiPriority w:val="99"/>
    <w:rPr>
      <w:kern w:val="2"/>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6" Type="http://schemas.openxmlformats.org/officeDocument/2006/relationships/fontTable" Target="fontTable.xml"/><Relationship Id="rId25" Type="http://schemas.openxmlformats.org/officeDocument/2006/relationships/customXml" Target="../customXml/item2.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image" Target="media/image2.svg"/><Relationship Id="rId21" Type="http://schemas.openxmlformats.org/officeDocument/2006/relationships/image" Target="media/image1.png"/><Relationship Id="rId20" Type="http://schemas.openxmlformats.org/officeDocument/2006/relationships/theme" Target="theme/theme1.xml"/><Relationship Id="rId2" Type="http://schemas.openxmlformats.org/officeDocument/2006/relationships/settings" Target="settings.xml"/><Relationship Id="rId19" Type="http://schemas.openxmlformats.org/officeDocument/2006/relationships/footer" Target="footer7.xml"/><Relationship Id="rId18" Type="http://schemas.openxmlformats.org/officeDocument/2006/relationships/footer" Target="footer6.xml"/><Relationship Id="rId17" Type="http://schemas.openxmlformats.org/officeDocument/2006/relationships/header" Target="header8.xml"/><Relationship Id="rId16" Type="http://schemas.openxmlformats.org/officeDocument/2006/relationships/header" Target="header7.xml"/><Relationship Id="rId15" Type="http://schemas.openxmlformats.org/officeDocument/2006/relationships/footer" Target="footer5.xml"/><Relationship Id="rId14" Type="http://schemas.openxmlformats.org/officeDocument/2006/relationships/footer" Target="footer4.xml"/><Relationship Id="rId13" Type="http://schemas.openxmlformats.org/officeDocument/2006/relationships/header" Target="header6.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Version="6" StyleName="APA" SelectedStyle="\APASixthEditionOfficeOnline.xsl"/>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7B8A85D-EFFC-41E8-B23D-A819019FD84F}">
  <ds:schemaRefs/>
</ds:datastoreItem>
</file>

<file path=docProps/app.xml><?xml version="1.0" encoding="utf-8"?>
<Properties xmlns="http://schemas.openxmlformats.org/officeDocument/2006/extended-properties" xmlns:vt="http://schemas.openxmlformats.org/officeDocument/2006/docPropsVTypes">
  <Template>Normal.dotm</Template>
  <Pages>18</Pages>
  <Words>4810</Words>
  <Characters>6569</Characters>
  <Lines>35</Lines>
  <Paragraphs>18</Paragraphs>
  <TotalTime>137</TotalTime>
  <ScaleCrop>false</ScaleCrop>
  <LinksUpToDate>false</LinksUpToDate>
  <CharactersWithSpaces>6996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2023-04-11T09:28:00Z</dcterms:created>
  <dc:creator>l</dc:creator>
  <cp:lastModifiedBy>黄未</cp:lastModifiedBy>
  <cp:lastPrinted>2023-04-13T16:40:00Z</cp:lastPrinted>
  <dcterms:modified xsi:type="dcterms:W3CDTF">2026-07-24T02:17:48Z</dcterms:modified>
  <dc:title>中华人民共和国国家计量技术规范</dc:title>
  <cp:revision>152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TemplateDocerSaveRecord">
    <vt:lpwstr>eyJoZGlkIjoiNDRiZWQ5NzlkMjE3Nzk2ODY5Mjk4OTE1NGIyMGUwZTIiLCJ1c2VySWQiOiIxMTUwNjMxMDcwIn0=</vt:lpwstr>
  </property>
  <property fmtid="{D5CDD505-2E9C-101B-9397-08002B2CF9AE}" pid="7" name="ICV">
    <vt:lpwstr>4C5FC50CE595A9A123F509697E945937_43</vt:lpwstr>
  </property>
</Properties>
</file>